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0" w:rsidRPr="00152725" w:rsidRDefault="00DE4F40" w:rsidP="00DE4F40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25">
        <w:rPr>
          <w:rFonts w:ascii="Times New Roman" w:hAnsi="Times New Roman" w:cs="Times New Roman"/>
          <w:bCs/>
          <w:sz w:val="28"/>
          <w:szCs w:val="28"/>
        </w:rPr>
        <w:t xml:space="preserve">Azienda Ospedaliera </w:t>
      </w:r>
      <w:r w:rsidRPr="003C7040">
        <w:rPr>
          <w:rFonts w:ascii="Times New Roman" w:hAnsi="Times New Roman" w:cs="Times New Roman"/>
          <w:bCs/>
          <w:i/>
          <w:sz w:val="28"/>
          <w:szCs w:val="28"/>
        </w:rPr>
        <w:t>“</w:t>
      </w:r>
      <w:proofErr w:type="gramStart"/>
      <w:r w:rsidRPr="003C7040">
        <w:rPr>
          <w:rFonts w:ascii="Times New Roman" w:hAnsi="Times New Roman" w:cs="Times New Roman"/>
          <w:bCs/>
          <w:i/>
          <w:sz w:val="28"/>
          <w:szCs w:val="28"/>
        </w:rPr>
        <w:t>Bianchi-Melacrino-Morelli</w:t>
      </w:r>
      <w:proofErr w:type="gramEnd"/>
      <w:r w:rsidRPr="003C7040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Pr="00152725">
        <w:rPr>
          <w:rFonts w:ascii="Times New Roman" w:hAnsi="Times New Roman" w:cs="Times New Roman"/>
          <w:bCs/>
          <w:sz w:val="28"/>
          <w:szCs w:val="28"/>
        </w:rPr>
        <w:t xml:space="preserve"> Reggio Calabria</w:t>
      </w:r>
    </w:p>
    <w:p w:rsidR="00874004" w:rsidRPr="00152725" w:rsidRDefault="0073148E" w:rsidP="00AB6CC8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725">
        <w:rPr>
          <w:rFonts w:ascii="Times New Roman" w:hAnsi="Times New Roman" w:cs="Times New Roman"/>
          <w:bCs/>
          <w:sz w:val="28"/>
          <w:szCs w:val="28"/>
        </w:rPr>
        <w:t>U</w:t>
      </w:r>
      <w:r w:rsidR="00DE4F40" w:rsidRPr="00152725">
        <w:rPr>
          <w:rFonts w:ascii="Times New Roman" w:hAnsi="Times New Roman" w:cs="Times New Roman"/>
          <w:bCs/>
          <w:sz w:val="28"/>
          <w:szCs w:val="28"/>
        </w:rPr>
        <w:t>NITA’ OPERATIVA SEMPLICE “</w:t>
      </w:r>
      <w:proofErr w:type="spellStart"/>
      <w:proofErr w:type="gramStart"/>
      <w:r w:rsidRPr="00152725">
        <w:rPr>
          <w:rFonts w:ascii="Times New Roman" w:hAnsi="Times New Roman" w:cs="Times New Roman"/>
          <w:bCs/>
          <w:sz w:val="28"/>
          <w:szCs w:val="28"/>
        </w:rPr>
        <w:t>O.</w:t>
      </w:r>
      <w:r w:rsidR="00DE4F40" w:rsidRPr="00152725">
        <w:rPr>
          <w:rFonts w:ascii="Times New Roman" w:hAnsi="Times New Roman" w:cs="Times New Roman"/>
          <w:bCs/>
          <w:sz w:val="28"/>
          <w:szCs w:val="28"/>
        </w:rPr>
        <w:t>B.I.</w:t>
      </w:r>
      <w:proofErr w:type="spellEnd"/>
      <w:proofErr w:type="gramEnd"/>
      <w:r w:rsidR="00DE4F40" w:rsidRPr="00152725">
        <w:rPr>
          <w:rFonts w:ascii="Times New Roman" w:hAnsi="Times New Roman" w:cs="Times New Roman"/>
          <w:bCs/>
          <w:sz w:val="28"/>
          <w:szCs w:val="28"/>
        </w:rPr>
        <w:t>”</w:t>
      </w:r>
      <w:r w:rsidRPr="00152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725">
        <w:rPr>
          <w:rFonts w:ascii="Times New Roman" w:hAnsi="Times New Roman" w:cs="Times New Roman"/>
          <w:bCs/>
          <w:sz w:val="28"/>
          <w:szCs w:val="28"/>
        </w:rPr>
        <w:t>(</w:t>
      </w:r>
      <w:r w:rsidRPr="00152725">
        <w:rPr>
          <w:rFonts w:ascii="Times New Roman" w:hAnsi="Times New Roman" w:cs="Times New Roman"/>
          <w:bCs/>
          <w:sz w:val="28"/>
          <w:szCs w:val="28"/>
        </w:rPr>
        <w:t>Osservazione Breve Intensiva</w:t>
      </w:r>
      <w:r w:rsidR="00152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73148E" w:rsidRPr="00152725" w:rsidRDefault="0073148E" w:rsidP="00152725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143">
        <w:rPr>
          <w:rFonts w:ascii="Times New Roman" w:hAnsi="Times New Roman" w:cs="Times New Roman"/>
          <w:bCs/>
          <w:sz w:val="24"/>
          <w:szCs w:val="24"/>
        </w:rPr>
        <w:t>F.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2143">
        <w:rPr>
          <w:rFonts w:ascii="Times New Roman" w:hAnsi="Times New Roman" w:cs="Times New Roman"/>
          <w:bCs/>
          <w:sz w:val="24"/>
          <w:szCs w:val="24"/>
        </w:rPr>
        <w:t>Moschella</w:t>
      </w:r>
      <w:proofErr w:type="spellEnd"/>
      <w:r w:rsidRPr="00302143">
        <w:rPr>
          <w:rFonts w:ascii="Times New Roman" w:hAnsi="Times New Roman" w:cs="Times New Roman"/>
          <w:bCs/>
          <w:sz w:val="24"/>
          <w:szCs w:val="24"/>
        </w:rPr>
        <w:t>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F.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2143">
        <w:rPr>
          <w:rFonts w:ascii="Times New Roman" w:hAnsi="Times New Roman" w:cs="Times New Roman"/>
          <w:bCs/>
          <w:sz w:val="24"/>
          <w:szCs w:val="24"/>
        </w:rPr>
        <w:t>Caccamo</w:t>
      </w:r>
      <w:proofErr w:type="spellEnd"/>
      <w:r w:rsidRPr="00302143">
        <w:rPr>
          <w:rFonts w:ascii="Times New Roman" w:hAnsi="Times New Roman" w:cs="Times New Roman"/>
          <w:bCs/>
          <w:sz w:val="24"/>
          <w:szCs w:val="24"/>
        </w:rPr>
        <w:t>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M.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Hyeraci,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G.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2143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  <w:r w:rsidRPr="00302143">
        <w:rPr>
          <w:rFonts w:ascii="Times New Roman" w:hAnsi="Times New Roman" w:cs="Times New Roman"/>
          <w:bCs/>
          <w:sz w:val="24"/>
          <w:szCs w:val="24"/>
        </w:rPr>
        <w:t>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02143">
        <w:rPr>
          <w:rFonts w:ascii="Times New Roman" w:hAnsi="Times New Roman" w:cs="Times New Roman"/>
          <w:bCs/>
          <w:sz w:val="24"/>
          <w:szCs w:val="24"/>
        </w:rPr>
        <w:t>M.G.</w:t>
      </w:r>
      <w:proofErr w:type="spellEnd"/>
      <w:proofErr w:type="gramEnd"/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Pensabene,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G.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Taglieri</w:t>
      </w:r>
      <w:r w:rsidR="00DE4F40">
        <w:rPr>
          <w:rFonts w:ascii="Times New Roman" w:hAnsi="Times New Roman" w:cs="Times New Roman"/>
          <w:bCs/>
          <w:sz w:val="24"/>
          <w:szCs w:val="24"/>
        </w:rPr>
        <w:t>, L. Africa</w:t>
      </w:r>
    </w:p>
    <w:p w:rsidR="00DE4F40" w:rsidRDefault="0073148E" w:rsidP="00DE4F40">
      <w:pPr>
        <w:widowControl w:val="0"/>
        <w:tabs>
          <w:tab w:val="left" w:pos="9214"/>
        </w:tabs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</w:t>
      </w:r>
      <w:r w:rsidR="00DE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DE4F40">
        <w:rPr>
          <w:rFonts w:ascii="Times New Roman" w:hAnsi="Times New Roman" w:cs="Times New Roman"/>
          <w:b/>
          <w:bCs/>
          <w:sz w:val="24"/>
          <w:szCs w:val="24"/>
        </w:rPr>
        <w:t xml:space="preserve"> Caterina Dir. I n. 14, Reggio </w:t>
      </w:r>
      <w:r>
        <w:rPr>
          <w:rFonts w:ascii="Times New Roman" w:hAnsi="Times New Roman" w:cs="Times New Roman"/>
          <w:b/>
          <w:bCs/>
          <w:sz w:val="24"/>
          <w:szCs w:val="24"/>
        </w:rPr>
        <w:t>Calabria.</w:t>
      </w:r>
      <w:r w:rsidR="00DE4F40">
        <w:rPr>
          <w:rFonts w:ascii="Times New Roman" w:hAnsi="Times New Roman" w:cs="Times New Roman"/>
          <w:b/>
          <w:bCs/>
          <w:sz w:val="24"/>
          <w:szCs w:val="24"/>
        </w:rPr>
        <w:t xml:space="preserve"> E mail: </w:t>
      </w:r>
      <w:hyperlink r:id="rId5" w:history="1">
        <w:r w:rsidR="00DE4F40" w:rsidRPr="006102D1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f.moschella@alice.it</w:t>
        </w:r>
      </w:hyperlink>
    </w:p>
    <w:p w:rsidR="00DE4F40" w:rsidRDefault="00DE4F40" w:rsidP="00DE4F40">
      <w:pPr>
        <w:widowControl w:val="0"/>
        <w:tabs>
          <w:tab w:val="left" w:pos="9214"/>
        </w:tabs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8E" w:rsidRDefault="0073148E" w:rsidP="0073148E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Filippo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Caccamo</w:t>
      </w:r>
      <w:proofErr w:type="spellEnd"/>
    </w:p>
    <w:p w:rsidR="0073148E" w:rsidRDefault="0073148E" w:rsidP="0073148E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Mario Hyeraci</w:t>
      </w:r>
    </w:p>
    <w:p w:rsidR="0073148E" w:rsidRDefault="0073148E" w:rsidP="0073148E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Dott. Giuseppe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Lavilla</w:t>
      </w:r>
      <w:proofErr w:type="spellEnd"/>
    </w:p>
    <w:p w:rsidR="0073148E" w:rsidRDefault="0073148E" w:rsidP="0073148E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Maria Grazia Pensabene</w:t>
      </w:r>
    </w:p>
    <w:p w:rsidR="0073148E" w:rsidRDefault="0073148E" w:rsidP="0073148E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Giuseppe Taglieri</w:t>
      </w:r>
    </w:p>
    <w:p w:rsidR="0073148E" w:rsidRPr="00152725" w:rsidRDefault="00DE4F40" w:rsidP="00152725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Liana Africa</w:t>
      </w:r>
    </w:p>
    <w:p w:rsidR="007A7291" w:rsidRPr="003C7040" w:rsidRDefault="002D205F" w:rsidP="00DE4F4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Un caso </w:t>
      </w:r>
      <w:proofErr w:type="gramStart"/>
      <w:r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di </w:t>
      </w:r>
      <w:proofErr w:type="gramEnd"/>
      <w:r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>i</w:t>
      </w:r>
      <w:r w:rsidR="001B39B4"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ntossicazione acuta di Mandragora </w:t>
      </w:r>
      <w:proofErr w:type="spellStart"/>
      <w:r w:rsidR="001B39B4"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>Offici</w:t>
      </w:r>
      <w:r w:rsidRPr="003C7040">
        <w:rPr>
          <w:rFonts w:ascii="Times New Roman" w:hAnsi="Times New Roman" w:cs="Times New Roman"/>
          <w:b/>
          <w:i/>
          <w:sz w:val="32"/>
          <w:szCs w:val="32"/>
          <w:u w:val="single"/>
        </w:rPr>
        <w:t>narum</w:t>
      </w:r>
      <w:proofErr w:type="spellEnd"/>
    </w:p>
    <w:p w:rsidR="001B39B4" w:rsidRPr="0073148E" w:rsidRDefault="001B39B4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>Parole chiave</w:t>
      </w:r>
      <w:r w:rsidR="0073148E" w:rsidRPr="0073148E">
        <w:rPr>
          <w:rFonts w:ascii="Times New Roman" w:hAnsi="Times New Roman" w:cs="Times New Roman"/>
          <w:sz w:val="24"/>
          <w:szCs w:val="24"/>
        </w:rPr>
        <w:t>: Mandragora, Osservazione Breve Intensiva, F</w:t>
      </w:r>
      <w:r w:rsidR="006D7313">
        <w:rPr>
          <w:rFonts w:ascii="Times New Roman" w:hAnsi="Times New Roman" w:cs="Times New Roman"/>
          <w:sz w:val="24"/>
          <w:szCs w:val="24"/>
        </w:rPr>
        <w:t>is</w:t>
      </w:r>
      <w:r w:rsidR="002D205F" w:rsidRPr="0073148E">
        <w:rPr>
          <w:rFonts w:ascii="Times New Roman" w:hAnsi="Times New Roman" w:cs="Times New Roman"/>
          <w:sz w:val="24"/>
          <w:szCs w:val="24"/>
        </w:rPr>
        <w:t>ostigmina.</w:t>
      </w:r>
    </w:p>
    <w:p w:rsidR="0073148E" w:rsidRPr="0073148E" w:rsidRDefault="0073148E" w:rsidP="001B39B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4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proofErr w:type="spellStart"/>
      <w:r w:rsidRPr="0073148E">
        <w:rPr>
          <w:rFonts w:ascii="Times New Roman" w:hAnsi="Times New Roman" w:cs="Times New Roman"/>
          <w:sz w:val="24"/>
          <w:szCs w:val="24"/>
          <w:lang w:val="en-US"/>
        </w:rPr>
        <w:t>Mandragora</w:t>
      </w:r>
      <w:proofErr w:type="spellEnd"/>
      <w:r w:rsidRPr="007314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148E">
        <w:rPr>
          <w:rFonts w:ascii="Times New Roman" w:hAnsi="Times New Roman" w:cs="Times New Roman"/>
          <w:sz w:val="24"/>
          <w:szCs w:val="24"/>
          <w:lang w:val="en-US"/>
        </w:rPr>
        <w:t xml:space="preserve">Short Intensive Observation, </w:t>
      </w:r>
      <w:proofErr w:type="spellStart"/>
      <w:r w:rsidRPr="0073148E">
        <w:rPr>
          <w:rFonts w:ascii="Times New Roman" w:hAnsi="Times New Roman" w:cs="Times New Roman"/>
          <w:sz w:val="24"/>
          <w:szCs w:val="24"/>
          <w:lang w:val="en-US"/>
        </w:rPr>
        <w:t>Physostigmine</w:t>
      </w:r>
      <w:proofErr w:type="spellEnd"/>
      <w:r w:rsidRPr="007314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39B4" w:rsidRPr="0073148E" w:rsidRDefault="001B39B4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>Riassunto</w:t>
      </w:r>
      <w:r w:rsidRPr="0073148E">
        <w:rPr>
          <w:rFonts w:ascii="Times New Roman" w:hAnsi="Times New Roman" w:cs="Times New Roman"/>
          <w:sz w:val="24"/>
          <w:szCs w:val="24"/>
        </w:rPr>
        <w:t xml:space="preserve">: Viene descritto un caso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intossicazione acuta di Mandragora </w:t>
      </w:r>
      <w:proofErr w:type="spellStart"/>
      <w:r w:rsidR="002D205F" w:rsidRPr="0073148E">
        <w:rPr>
          <w:rFonts w:ascii="Times New Roman" w:hAnsi="Times New Roman" w:cs="Times New Roman"/>
          <w:sz w:val="24"/>
          <w:szCs w:val="24"/>
        </w:rPr>
        <w:t>Officinarum</w:t>
      </w:r>
      <w:proofErr w:type="spellEnd"/>
      <w:r w:rsidR="002D205F" w:rsidRPr="0073148E">
        <w:rPr>
          <w:rFonts w:ascii="Times New Roman" w:hAnsi="Times New Roman" w:cs="Times New Roman"/>
          <w:sz w:val="24"/>
          <w:szCs w:val="24"/>
        </w:rPr>
        <w:t>, i sintomi di presentazione in P.S.-OBI, la diagnosi e le strategie terapeutiche.</w:t>
      </w:r>
    </w:p>
    <w:p w:rsidR="0073148E" w:rsidRPr="0073148E" w:rsidRDefault="0073148E" w:rsidP="001B39B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48E">
        <w:rPr>
          <w:rFonts w:ascii="Times New Roman" w:hAnsi="Times New Roman" w:cs="Times New Roman"/>
          <w:b/>
          <w:sz w:val="24"/>
          <w:szCs w:val="24"/>
          <w:lang w:val="en-US"/>
        </w:rPr>
        <w:t>Summary:</w:t>
      </w:r>
      <w:r w:rsidR="006D7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A case</w:t>
      </w:r>
      <w:r w:rsidR="006D7313"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of acute poisoning</w:t>
      </w:r>
      <w:r w:rsidR="006D7313"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Mandragora</w:t>
      </w:r>
      <w:proofErr w:type="spellEnd"/>
      <w:r w:rsidR="006D7313"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officinarum</w:t>
      </w:r>
      <w:proofErr w:type="spellEnd"/>
      <w:r w:rsidRPr="007B5B53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presenting </w:t>
      </w:r>
      <w:proofErr w:type="spellStart"/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symptomsin</w:t>
      </w:r>
      <w:proofErr w:type="spellEnd"/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PS</w:t>
      </w:r>
      <w:r w:rsidRPr="007B5B53">
        <w:rPr>
          <w:rStyle w:val="atn"/>
          <w:rFonts w:ascii="Times New Roman" w:hAnsi="Times New Roman" w:cs="Times New Roman"/>
          <w:sz w:val="24"/>
          <w:szCs w:val="24"/>
          <w:lang w:val="en-US"/>
        </w:rPr>
        <w:t>-</w:t>
      </w:r>
      <w:r w:rsidRPr="007B5B53">
        <w:rPr>
          <w:rFonts w:ascii="Times New Roman" w:hAnsi="Times New Roman" w:cs="Times New Roman"/>
          <w:sz w:val="24"/>
          <w:szCs w:val="24"/>
          <w:lang w:val="en-US"/>
        </w:rPr>
        <w:t xml:space="preserve">OBI, diagnosis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6D7313"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B53">
        <w:rPr>
          <w:rStyle w:val="hps"/>
          <w:rFonts w:ascii="Times New Roman" w:hAnsi="Times New Roman" w:cs="Times New Roman"/>
          <w:sz w:val="24"/>
          <w:szCs w:val="24"/>
          <w:lang w:val="en-US"/>
        </w:rPr>
        <w:t>therapeutic strategies</w:t>
      </w:r>
      <w:r w:rsidRPr="007B5B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4F40" w:rsidRDefault="00A46967" w:rsidP="006B4A2D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 xml:space="preserve">Introduzione: </w:t>
      </w:r>
      <w:r w:rsidR="007A7291" w:rsidRPr="0073148E">
        <w:rPr>
          <w:rFonts w:ascii="Times New Roman" w:hAnsi="Times New Roman" w:cs="Times New Roman"/>
          <w:sz w:val="24"/>
          <w:szCs w:val="24"/>
        </w:rPr>
        <w:t xml:space="preserve">La </w:t>
      </w:r>
      <w:r w:rsidR="003C7040" w:rsidRPr="003C7040">
        <w:rPr>
          <w:rFonts w:ascii="Times New Roman" w:hAnsi="Times New Roman" w:cs="Times New Roman"/>
          <w:i/>
          <w:sz w:val="24"/>
          <w:szCs w:val="24"/>
        </w:rPr>
        <w:t>“</w:t>
      </w:r>
      <w:r w:rsidR="007A7291" w:rsidRPr="003C7040">
        <w:rPr>
          <w:rFonts w:ascii="Times New Roman" w:hAnsi="Times New Roman" w:cs="Times New Roman"/>
          <w:i/>
          <w:sz w:val="24"/>
          <w:szCs w:val="24"/>
        </w:rPr>
        <w:t xml:space="preserve">Mandragora </w:t>
      </w:r>
      <w:proofErr w:type="spellStart"/>
      <w:r w:rsidR="007A7291" w:rsidRPr="003C7040">
        <w:rPr>
          <w:rFonts w:ascii="Times New Roman" w:hAnsi="Times New Roman" w:cs="Times New Roman"/>
          <w:i/>
          <w:sz w:val="24"/>
          <w:szCs w:val="24"/>
        </w:rPr>
        <w:t>Officinarum</w:t>
      </w:r>
      <w:proofErr w:type="spellEnd"/>
      <w:r w:rsidR="003C7040" w:rsidRPr="003C7040">
        <w:rPr>
          <w:rFonts w:ascii="Times New Roman" w:hAnsi="Times New Roman" w:cs="Times New Roman"/>
          <w:i/>
          <w:sz w:val="24"/>
          <w:szCs w:val="24"/>
        </w:rPr>
        <w:t>”</w:t>
      </w:r>
      <w:r w:rsidR="007A7291" w:rsidRPr="0073148E">
        <w:rPr>
          <w:rFonts w:ascii="Times New Roman" w:hAnsi="Times New Roman" w:cs="Times New Roman"/>
          <w:sz w:val="24"/>
          <w:szCs w:val="24"/>
        </w:rPr>
        <w:t xml:space="preserve">, comunemente conosciuta come Mandragola, è una pianta appartenente alla famiglia delle </w:t>
      </w:r>
      <w:proofErr w:type="spellStart"/>
      <w:r w:rsidR="007A7291" w:rsidRPr="0073148E">
        <w:rPr>
          <w:rFonts w:ascii="Times New Roman" w:hAnsi="Times New Roman" w:cs="Times New Roman"/>
          <w:sz w:val="24"/>
          <w:szCs w:val="24"/>
        </w:rPr>
        <w:t>Solanaceae</w:t>
      </w:r>
      <w:proofErr w:type="spellEnd"/>
      <w:r w:rsidR="007A7291" w:rsidRPr="0073148E">
        <w:rPr>
          <w:rFonts w:ascii="Times New Roman" w:hAnsi="Times New Roman" w:cs="Times New Roman"/>
          <w:sz w:val="24"/>
          <w:szCs w:val="24"/>
        </w:rPr>
        <w:t xml:space="preserve">, che contiene nelle sue radici sostanze alcaloidi quali </w:t>
      </w:r>
      <w:proofErr w:type="spellStart"/>
      <w:r w:rsidR="007A7291" w:rsidRPr="0073148E">
        <w:rPr>
          <w:rFonts w:ascii="Times New Roman" w:hAnsi="Times New Roman" w:cs="Times New Roman"/>
          <w:sz w:val="24"/>
          <w:szCs w:val="24"/>
        </w:rPr>
        <w:t>ioscina</w:t>
      </w:r>
      <w:proofErr w:type="spellEnd"/>
      <w:r w:rsidR="007A7291" w:rsidRPr="0073148E">
        <w:rPr>
          <w:rFonts w:ascii="Times New Roman" w:hAnsi="Times New Roman" w:cs="Times New Roman"/>
          <w:sz w:val="24"/>
          <w:szCs w:val="24"/>
        </w:rPr>
        <w:t xml:space="preserve">, scopolamina e </w:t>
      </w:r>
      <w:proofErr w:type="spellStart"/>
      <w:r w:rsidR="007A7291" w:rsidRPr="0073148E">
        <w:rPr>
          <w:rFonts w:ascii="Times New Roman" w:hAnsi="Times New Roman" w:cs="Times New Roman"/>
          <w:sz w:val="24"/>
          <w:szCs w:val="24"/>
        </w:rPr>
        <w:t>mandragorina</w:t>
      </w:r>
      <w:proofErr w:type="spellEnd"/>
      <w:r w:rsidR="007A7291" w:rsidRPr="0073148E">
        <w:rPr>
          <w:rFonts w:ascii="Times New Roman" w:hAnsi="Times New Roman" w:cs="Times New Roman"/>
          <w:sz w:val="24"/>
          <w:szCs w:val="24"/>
        </w:rPr>
        <w:t xml:space="preserve"> ad </w:t>
      </w:r>
      <w:proofErr w:type="gramStart"/>
      <w:r w:rsidR="007A7291" w:rsidRPr="0073148E">
        <w:rPr>
          <w:rFonts w:ascii="Times New Roman" w:hAnsi="Times New Roman" w:cs="Times New Roman"/>
          <w:sz w:val="24"/>
          <w:szCs w:val="24"/>
        </w:rPr>
        <w:t>azione anticolinergica e responsabili</w:t>
      </w:r>
      <w:proofErr w:type="gramEnd"/>
      <w:r w:rsidR="007A7291" w:rsidRPr="0073148E">
        <w:rPr>
          <w:rFonts w:ascii="Times New Roman" w:hAnsi="Times New Roman" w:cs="Times New Roman"/>
          <w:sz w:val="24"/>
          <w:szCs w:val="24"/>
        </w:rPr>
        <w:t xml:space="preserve"> degli effetti tossici</w:t>
      </w:r>
      <w:bookmarkStart w:id="0" w:name="intro"/>
      <w:r w:rsidR="00DE4F40">
        <w:rPr>
          <w:rFonts w:ascii="Times New Roman" w:hAnsi="Times New Roman" w:cs="Times New Roman"/>
          <w:sz w:val="24"/>
          <w:szCs w:val="24"/>
        </w:rPr>
        <w:t>.</w:t>
      </w:r>
    </w:p>
    <w:p w:rsidR="006B4A2D" w:rsidRPr="00DE4F40" w:rsidRDefault="00FC5DE8" w:rsidP="006B4A2D">
      <w:pPr>
        <w:jc w:val="both"/>
        <w:rPr>
          <w:rFonts w:ascii="Times New Roman" w:hAnsi="Times New Roman" w:cs="Times New Roman"/>
          <w:sz w:val="24"/>
          <w:szCs w:val="24"/>
        </w:rPr>
      </w:pPr>
      <w:r w:rsidRPr="006B4A2D">
        <w:rPr>
          <w:rFonts w:ascii="Times New Roman" w:hAnsi="Times New Roman" w:cs="Times New Roman"/>
          <w:bCs/>
          <w:sz w:val="24"/>
          <w:szCs w:val="24"/>
        </w:rPr>
        <w:t>La</w:t>
      </w:r>
      <w:r w:rsidR="006B4A2D" w:rsidRPr="006B4A2D">
        <w:rPr>
          <w:rFonts w:ascii="Times New Roman" w:hAnsi="Times New Roman" w:cs="Times New Roman"/>
          <w:bCs/>
          <w:sz w:val="24"/>
          <w:szCs w:val="24"/>
        </w:rPr>
        <w:t xml:space="preserve"> Mandragora</w:t>
      </w:r>
      <w:r w:rsidR="006B4A2D">
        <w:rPr>
          <w:rFonts w:ascii="Times New Roman" w:hAnsi="Times New Roman" w:cs="Times New Roman"/>
          <w:bCs/>
          <w:sz w:val="24"/>
          <w:szCs w:val="24"/>
        </w:rPr>
        <w:t>,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fu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considerata </w:t>
      </w:r>
      <w:r w:rsidR="006B4A2D" w:rsidRPr="006B4A2D">
        <w:rPr>
          <w:rFonts w:ascii="Times New Roman" w:hAnsi="Times New Roman" w:cs="Times New Roman"/>
          <w:bCs/>
          <w:sz w:val="24"/>
          <w:szCs w:val="24"/>
        </w:rPr>
        <w:t xml:space="preserve">nell'antichità </w:t>
      </w:r>
      <w:r w:rsidR="006B4A2D">
        <w:rPr>
          <w:rFonts w:ascii="Times New Roman" w:hAnsi="Times New Roman" w:cs="Times New Roman"/>
          <w:bCs/>
          <w:sz w:val="24"/>
          <w:szCs w:val="24"/>
        </w:rPr>
        <w:t>la</w:t>
      </w:r>
      <w:r w:rsidRPr="006B4A2D">
        <w:rPr>
          <w:rFonts w:ascii="Times New Roman" w:hAnsi="Times New Roman" w:cs="Times New Roman"/>
          <w:bCs/>
          <w:sz w:val="24"/>
          <w:szCs w:val="24"/>
        </w:rPr>
        <w:t xml:space="preserve"> più magica e misteriosa delle erbe,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era</w:t>
      </w:r>
      <w:r w:rsidRPr="006B4A2D">
        <w:rPr>
          <w:rFonts w:ascii="Times New Roman" w:hAnsi="Times New Roman" w:cs="Times New Roman"/>
          <w:bCs/>
          <w:sz w:val="24"/>
          <w:szCs w:val="24"/>
        </w:rPr>
        <w:t xml:space="preserve"> conosciuta come 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afrodisiaca e </w:t>
      </w:r>
      <w:r w:rsidRPr="006B4A2D">
        <w:rPr>
          <w:rFonts w:ascii="Times New Roman" w:hAnsi="Times New Roman" w:cs="Times New Roman"/>
          <w:bCs/>
          <w:sz w:val="24"/>
          <w:szCs w:val="24"/>
        </w:rPr>
        <w:t>godeva fama di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possedere</w:t>
      </w:r>
      <w:r w:rsidRPr="006B4A2D">
        <w:rPr>
          <w:rFonts w:ascii="Times New Roman" w:hAnsi="Times New Roman" w:cs="Times New Roman"/>
          <w:bCs/>
          <w:sz w:val="24"/>
          <w:szCs w:val="24"/>
        </w:rPr>
        <w:t xml:space="preserve"> straordinarie virtù terapeutiche, come ad esempio quella di </w:t>
      </w:r>
      <w:r w:rsidR="006B4A2D">
        <w:rPr>
          <w:rFonts w:ascii="Times New Roman" w:hAnsi="Times New Roman" w:cs="Times New Roman"/>
          <w:bCs/>
          <w:sz w:val="24"/>
          <w:szCs w:val="24"/>
        </w:rPr>
        <w:t>curare la sterilità femminile.</w:t>
      </w:r>
    </w:p>
    <w:p w:rsidR="006B4A2D" w:rsidRPr="006B4A2D" w:rsidRDefault="006B4A2D" w:rsidP="006B4A2D">
      <w:pPr>
        <w:jc w:val="both"/>
        <w:rPr>
          <w:rFonts w:ascii="Times New Roman" w:hAnsi="Times New Roman" w:cs="Times New Roman"/>
          <w:sz w:val="24"/>
          <w:szCs w:val="24"/>
        </w:rPr>
      </w:pPr>
      <w:r w:rsidRPr="006B4A2D">
        <w:rPr>
          <w:rFonts w:ascii="Times New Roman" w:hAnsi="Times New Roman" w:cs="Times New Roman"/>
          <w:bCs/>
          <w:sz w:val="24"/>
          <w:szCs w:val="24"/>
        </w:rPr>
        <w:t>Essa</w:t>
      </w:r>
      <w:r w:rsidR="00152725">
        <w:rPr>
          <w:rFonts w:ascii="Times New Roman" w:hAnsi="Times New Roman" w:cs="Times New Roman"/>
          <w:bCs/>
          <w:sz w:val="24"/>
          <w:szCs w:val="24"/>
        </w:rPr>
        <w:t>, addirittura,</w:t>
      </w:r>
      <w:r w:rsidRP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 xml:space="preserve">entrò a far parte della </w:t>
      </w:r>
      <w:r w:rsidRPr="006B4A2D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FC5DE8" w:rsidRPr="006B4A2D">
        <w:rPr>
          <w:rFonts w:ascii="Times New Roman" w:hAnsi="Times New Roman" w:cs="Times New Roman"/>
          <w:bCs/>
          <w:i/>
          <w:sz w:val="24"/>
          <w:szCs w:val="24"/>
        </w:rPr>
        <w:t>teriaca</w:t>
      </w:r>
      <w:r w:rsidRPr="006B4A2D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6B4A2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B4A2D">
        <w:rPr>
          <w:rFonts w:ascii="Times New Roman" w:hAnsi="Times New Roman" w:cs="Times New Roman"/>
          <w:sz w:val="24"/>
          <w:szCs w:val="24"/>
        </w:rPr>
        <w:t xml:space="preserve">dal </w:t>
      </w:r>
      <w:hyperlink r:id="rId6" w:tooltip="Lingua greca antica" w:history="1">
        <w:r w:rsidRPr="006B4A2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greco antico</w:t>
        </w:r>
      </w:hyperlink>
      <w:r w:rsidRPr="006B4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B4A2D">
        <w:rPr>
          <w:rFonts w:ascii="Times New Roman" w:hAnsi="Times New Roman" w:cs="Times New Roman"/>
          <w:i/>
          <w:iCs/>
          <w:sz w:val="24"/>
          <w:szCs w:val="24"/>
        </w:rPr>
        <w:t>thériakè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6B4A2D">
        <w:rPr>
          <w:rFonts w:ascii="Times New Roman" w:hAnsi="Times New Roman" w:cs="Times New Roman"/>
          <w:sz w:val="24"/>
          <w:szCs w:val="24"/>
        </w:rPr>
        <w:t xml:space="preserve">, cioè antidoto, oppure secondo alcuni dal </w:t>
      </w:r>
      <w:hyperlink r:id="rId7" w:tooltip="Sanscrito" w:history="1">
        <w:r w:rsidRPr="006B4A2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sanscrito</w:t>
        </w:r>
      </w:hyperlink>
      <w:r w:rsidRPr="006B4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B4A2D">
        <w:rPr>
          <w:rFonts w:ascii="Times New Roman" w:hAnsi="Times New Roman" w:cs="Times New Roman"/>
          <w:i/>
          <w:iCs/>
          <w:sz w:val="24"/>
          <w:szCs w:val="24"/>
        </w:rPr>
        <w:t>táraca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6B4A2D">
        <w:rPr>
          <w:rFonts w:ascii="Times New Roman" w:hAnsi="Times New Roman" w:cs="Times New Roman"/>
          <w:sz w:val="24"/>
          <w:szCs w:val="24"/>
        </w:rPr>
        <w:t xml:space="preserve"> dove </w:t>
      </w:r>
      <w:proofErr w:type="spellStart"/>
      <w:r w:rsidRPr="006B4A2D">
        <w:rPr>
          <w:rFonts w:ascii="Times New Roman" w:hAnsi="Times New Roman" w:cs="Times New Roman"/>
          <w:sz w:val="24"/>
          <w:szCs w:val="24"/>
        </w:rPr>
        <w:t>tár</w:t>
      </w:r>
      <w:proofErr w:type="spellEnd"/>
      <w:r w:rsidRPr="006B4A2D">
        <w:rPr>
          <w:rFonts w:ascii="Times New Roman" w:hAnsi="Times New Roman" w:cs="Times New Roman"/>
          <w:sz w:val="24"/>
          <w:szCs w:val="24"/>
        </w:rPr>
        <w:t xml:space="preserve"> significa salva), ossia di un preparato farmaceutico </w:t>
      </w:r>
      <w:r w:rsidR="00874004" w:rsidRPr="006B4A2D">
        <w:rPr>
          <w:rFonts w:ascii="Times New Roman" w:hAnsi="Times New Roman" w:cs="Times New Roman"/>
          <w:sz w:val="24"/>
          <w:szCs w:val="24"/>
        </w:rPr>
        <w:t xml:space="preserve">di origine antichissima </w:t>
      </w:r>
      <w:r w:rsidRPr="006B4A2D">
        <w:rPr>
          <w:rFonts w:ascii="Times New Roman" w:hAnsi="Times New Roman" w:cs="Times New Roman"/>
          <w:sz w:val="24"/>
          <w:szCs w:val="24"/>
        </w:rPr>
        <w:t>dalle supposte virtù miracolose.</w:t>
      </w:r>
    </w:p>
    <w:p w:rsidR="006B4A2D" w:rsidRPr="006B4A2D" w:rsidRDefault="00152725" w:rsidP="006B4A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ciò non bastasse, la mandragora acquisì grande considerazione sia nel sacro sia nel profano, posto che si dice che 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Santa </w:t>
      </w:r>
      <w:proofErr w:type="spellStart"/>
      <w:r w:rsidR="00DE4F40">
        <w:rPr>
          <w:rFonts w:ascii="Times New Roman" w:hAnsi="Times New Roman" w:cs="Times New Roman"/>
          <w:bCs/>
          <w:sz w:val="24"/>
          <w:szCs w:val="24"/>
        </w:rPr>
        <w:t>Ildegarda</w:t>
      </w:r>
      <w:proofErr w:type="spellEnd"/>
      <w:r w:rsidR="00DE4F40">
        <w:rPr>
          <w:rFonts w:ascii="Times New Roman" w:hAnsi="Times New Roman" w:cs="Times New Roman"/>
          <w:bCs/>
          <w:sz w:val="24"/>
          <w:szCs w:val="24"/>
        </w:rPr>
        <w:t> 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="00FC5DE8" w:rsidRPr="006B4A2D">
        <w:rPr>
          <w:rFonts w:ascii="Times New Roman" w:hAnsi="Times New Roman" w:cs="Times New Roman"/>
          <w:bCs/>
          <w:sz w:val="24"/>
          <w:szCs w:val="24"/>
        </w:rPr>
        <w:t>Bingen</w:t>
      </w:r>
      <w:proofErr w:type="spellEnd"/>
      <w:r w:rsidR="00FC5DE8" w:rsidRPr="006B4A2D">
        <w:rPr>
          <w:rFonts w:ascii="Times New Roman" w:hAnsi="Times New Roman" w:cs="Times New Roman"/>
          <w:bCs/>
          <w:sz w:val="24"/>
          <w:szCs w:val="24"/>
        </w:rPr>
        <w:t xml:space="preserve"> la</w:t>
      </w:r>
      <w:r>
        <w:rPr>
          <w:rFonts w:ascii="Times New Roman" w:hAnsi="Times New Roman" w:cs="Times New Roman"/>
          <w:bCs/>
          <w:sz w:val="24"/>
          <w:szCs w:val="24"/>
        </w:rPr>
        <w:t xml:space="preserve"> apprezzasse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come antidolorifico</w:t>
      </w:r>
      <w:r w:rsidR="007B5B53">
        <w:rPr>
          <w:rFonts w:ascii="Times New Roman" w:hAnsi="Times New Roman" w:cs="Times New Roman"/>
          <w:bCs/>
          <w:sz w:val="24"/>
          <w:szCs w:val="24"/>
        </w:rPr>
        <w:t xml:space="preserve"> e che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le stre</w:t>
      </w:r>
      <w:r w:rsidR="00DE4F40">
        <w:rPr>
          <w:rFonts w:ascii="Times New Roman" w:hAnsi="Times New Roman" w:cs="Times New Roman"/>
          <w:bCs/>
          <w:sz w:val="24"/>
          <w:szCs w:val="24"/>
        </w:rPr>
        <w:t>ghe la consumassero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>nei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loro</w:t>
      </w:r>
      <w:r w:rsidR="005A351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>abba pe</w:t>
      </w:r>
      <w:r w:rsidR="006B4A2D">
        <w:rPr>
          <w:rFonts w:ascii="Times New Roman" w:hAnsi="Times New Roman" w:cs="Times New Roman"/>
          <w:bCs/>
          <w:sz w:val="24"/>
          <w:szCs w:val="24"/>
        </w:rPr>
        <w:t>r dotarsi di poteri eccezionali.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4004" w:rsidRDefault="006B4A2D" w:rsidP="00DE4F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In realtà,</w:t>
      </w:r>
      <w:r w:rsidR="00FC5DE8" w:rsidRP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004">
        <w:rPr>
          <w:rFonts w:ascii="Times New Roman" w:hAnsi="Times New Roman" w:cs="Times New Roman"/>
          <w:sz w:val="24"/>
          <w:szCs w:val="24"/>
        </w:rPr>
        <w:t>la mandragora</w:t>
      </w:r>
      <w:r w:rsidR="00874004">
        <w:rPr>
          <w:rFonts w:ascii="Times New Roman" w:hAnsi="Times New Roman" w:cs="Times New Roman"/>
          <w:bCs/>
          <w:sz w:val="24"/>
          <w:szCs w:val="24"/>
        </w:rPr>
        <w:t>, p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>ur contenendo atropina</w:t>
      </w:r>
      <w:r w:rsidR="008740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>ha una sc</w:t>
      </w:r>
      <w:r w:rsidR="00874004" w:rsidRPr="006B4A2D">
        <w:rPr>
          <w:rFonts w:ascii="Times New Roman" w:hAnsi="Times New Roman" w:cs="Times New Roman"/>
          <w:sz w:val="24"/>
          <w:szCs w:val="24"/>
        </w:rPr>
        <w:t>arsa</w:t>
      </w:r>
      <w:r w:rsidR="00874004" w:rsidRPr="006B4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004" w:rsidRPr="006B4A2D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importanza farmacologica</w:t>
      </w:r>
      <w:r w:rsidR="00874004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tuttavia, è 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>d</w:t>
      </w:r>
      <w:r w:rsidR="00874004">
        <w:rPr>
          <w:rFonts w:ascii="Times New Roman" w:hAnsi="Times New Roman" w:cs="Times New Roman"/>
          <w:bCs/>
          <w:sz w:val="24"/>
          <w:szCs w:val="24"/>
        </w:rPr>
        <w:t>otata di una notevole tossicità ed è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 xml:space="preserve"> in grado</w:t>
      </w:r>
      <w:r w:rsidR="00874004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004" w:rsidRPr="0073148E">
        <w:rPr>
          <w:rFonts w:ascii="Times New Roman" w:hAnsi="Times New Roman" w:cs="Times New Roman"/>
          <w:sz w:val="24"/>
          <w:szCs w:val="24"/>
        </w:rPr>
        <w:t>determina</w:t>
      </w:r>
      <w:r w:rsidR="00874004">
        <w:rPr>
          <w:rFonts w:ascii="Times New Roman" w:hAnsi="Times New Roman" w:cs="Times New Roman"/>
          <w:sz w:val="24"/>
          <w:szCs w:val="24"/>
        </w:rPr>
        <w:t>re</w:t>
      </w:r>
      <w:r w:rsidR="00874004" w:rsidRPr="0073148E">
        <w:rPr>
          <w:rFonts w:ascii="Times New Roman" w:hAnsi="Times New Roman" w:cs="Times New Roman"/>
          <w:sz w:val="24"/>
          <w:szCs w:val="24"/>
        </w:rPr>
        <w:t xml:space="preserve"> effetti eccitatori a livello del sistema nervoso centrale</w:t>
      </w:r>
      <w:r w:rsidR="00874004">
        <w:rPr>
          <w:rFonts w:ascii="Times New Roman" w:hAnsi="Times New Roman" w:cs="Times New Roman"/>
          <w:sz w:val="24"/>
          <w:szCs w:val="24"/>
        </w:rPr>
        <w:t>, quali</w:t>
      </w:r>
      <w:r w:rsidR="00874004">
        <w:rPr>
          <w:rFonts w:ascii="Times New Roman" w:hAnsi="Times New Roman" w:cs="Times New Roman"/>
          <w:bCs/>
          <w:sz w:val="24"/>
          <w:szCs w:val="24"/>
        </w:rPr>
        <w:t xml:space="preserve"> allucinazioni visive, </w:t>
      </w:r>
      <w:r w:rsidR="00874004" w:rsidRPr="006B4A2D">
        <w:rPr>
          <w:rFonts w:ascii="Times New Roman" w:hAnsi="Times New Roman" w:cs="Times New Roman"/>
          <w:bCs/>
          <w:sz w:val="24"/>
          <w:szCs w:val="24"/>
        </w:rPr>
        <w:t>deliri</w:t>
      </w:r>
      <w:r w:rsidR="008740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4004" w:rsidRPr="0073148E">
        <w:rPr>
          <w:rFonts w:ascii="Times New Roman" w:hAnsi="Times New Roman" w:cs="Times New Roman"/>
          <w:sz w:val="24"/>
          <w:szCs w:val="24"/>
        </w:rPr>
        <w:t>confusion</w:t>
      </w:r>
      <w:r w:rsidR="00874004">
        <w:rPr>
          <w:rFonts w:ascii="Times New Roman" w:hAnsi="Times New Roman" w:cs="Times New Roman"/>
          <w:sz w:val="24"/>
          <w:szCs w:val="24"/>
        </w:rPr>
        <w:t xml:space="preserve">e mentale, </w:t>
      </w:r>
      <w:proofErr w:type="spellStart"/>
      <w:r w:rsidR="00874004" w:rsidRPr="0073148E">
        <w:rPr>
          <w:rFonts w:ascii="Times New Roman" w:hAnsi="Times New Roman" w:cs="Times New Roman"/>
          <w:sz w:val="24"/>
          <w:szCs w:val="24"/>
        </w:rPr>
        <w:t>ipertono</w:t>
      </w:r>
      <w:proofErr w:type="spellEnd"/>
      <w:r w:rsidR="00874004" w:rsidRPr="007314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004" w:rsidRPr="0073148E">
        <w:rPr>
          <w:rFonts w:ascii="Times New Roman" w:hAnsi="Times New Roman" w:cs="Times New Roman"/>
          <w:sz w:val="24"/>
          <w:szCs w:val="24"/>
        </w:rPr>
        <w:t>ecc.</w:t>
      </w:r>
      <w:r w:rsidR="00874004">
        <w:rPr>
          <w:rFonts w:ascii="Times New Roman" w:hAnsi="Times New Roman" w:cs="Times New Roman"/>
          <w:sz w:val="24"/>
          <w:szCs w:val="24"/>
        </w:rPr>
        <w:t xml:space="preserve"> ecc.</w:t>
      </w:r>
      <w:proofErr w:type="gramEnd"/>
      <w:r w:rsidR="00874004">
        <w:rPr>
          <w:rFonts w:ascii="Times New Roman" w:hAnsi="Times New Roman" w:cs="Times New Roman"/>
          <w:sz w:val="24"/>
          <w:szCs w:val="24"/>
        </w:rPr>
        <w:t>).</w:t>
      </w:r>
    </w:p>
    <w:p w:rsidR="00874004" w:rsidRPr="00874004" w:rsidRDefault="005A3518" w:rsidP="006B4A2D">
      <w:pPr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B4A2D">
        <w:rPr>
          <w:rFonts w:ascii="Times New Roman" w:hAnsi="Times New Roman" w:cs="Times New Roman"/>
          <w:bCs/>
          <w:sz w:val="24"/>
          <w:szCs w:val="24"/>
        </w:rPr>
        <w:t>a radice di mandragora</w:t>
      </w:r>
      <w:r w:rsidR="00DE4F40">
        <w:rPr>
          <w:rFonts w:ascii="Times New Roman" w:hAnsi="Times New Roman" w:cs="Times New Roman"/>
          <w:bCs/>
          <w:sz w:val="24"/>
          <w:szCs w:val="24"/>
        </w:rPr>
        <w:t xml:space="preserve"> è</w:t>
      </w:r>
      <w:r w:rsidR="006B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F40" w:rsidRPr="0073148E">
        <w:rPr>
          <w:rFonts w:ascii="Times New Roman" w:hAnsi="Times New Roman" w:cs="Times New Roman"/>
          <w:sz w:val="24"/>
          <w:szCs w:val="24"/>
        </w:rPr>
        <w:t>comunemente scambiata con la borraggine, pianta commestibile,</w:t>
      </w:r>
      <w:r w:rsidR="00DE4F40">
        <w:rPr>
          <w:rFonts w:ascii="Times New Roman" w:hAnsi="Times New Roman" w:cs="Times New Roman"/>
          <w:sz w:val="24"/>
          <w:szCs w:val="24"/>
        </w:rPr>
        <w:t xml:space="preserve"> per cui</w:t>
      </w:r>
      <w:r>
        <w:rPr>
          <w:rFonts w:ascii="Times New Roman" w:hAnsi="Times New Roman" w:cs="Times New Roman"/>
          <w:sz w:val="24"/>
          <w:szCs w:val="24"/>
        </w:rPr>
        <w:t xml:space="preserve"> accade che,</w:t>
      </w:r>
      <w:r w:rsidR="00DE4F40">
        <w:rPr>
          <w:rFonts w:ascii="Times New Roman" w:hAnsi="Times New Roman" w:cs="Times New Roman"/>
          <w:sz w:val="24"/>
          <w:szCs w:val="24"/>
        </w:rPr>
        <w:t xml:space="preserve"> erroneamente</w:t>
      </w:r>
      <w:r>
        <w:rPr>
          <w:rFonts w:ascii="Times New Roman" w:hAnsi="Times New Roman" w:cs="Times New Roman"/>
          <w:sz w:val="24"/>
          <w:szCs w:val="24"/>
        </w:rPr>
        <w:t>, sia raccolta</w:t>
      </w:r>
      <w:r w:rsidR="00DE4F40" w:rsidRPr="0073148E">
        <w:rPr>
          <w:rFonts w:ascii="Times New Roman" w:hAnsi="Times New Roman" w:cs="Times New Roman"/>
          <w:sz w:val="24"/>
          <w:szCs w:val="24"/>
        </w:rPr>
        <w:t xml:space="preserve"> cucinata </w:t>
      </w:r>
      <w:proofErr w:type="gramStart"/>
      <w:r w:rsidR="00DE4F40" w:rsidRPr="0073148E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DE4F40" w:rsidRPr="0073148E">
        <w:rPr>
          <w:rFonts w:ascii="Times New Roman" w:hAnsi="Times New Roman" w:cs="Times New Roman"/>
          <w:sz w:val="24"/>
          <w:szCs w:val="24"/>
        </w:rPr>
        <w:t xml:space="preserve"> ingerita</w:t>
      </w:r>
      <w:r w:rsidR="00DE4F40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FC5DE8" w:rsidRDefault="00FC5DE8" w:rsidP="001B3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52D" w:rsidRDefault="008F252D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4590098"/>
            <wp:effectExtent l="0" t="0" r="0" b="1270"/>
            <wp:docPr id="1" name="Immagine 1" descr="File:Mandragora officinaru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ndragora officinarum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8C" w:rsidRDefault="008F252D" w:rsidP="00E3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2D">
        <w:rPr>
          <w:rFonts w:ascii="Times New Roman" w:hAnsi="Times New Roman" w:cs="Times New Roman"/>
          <w:b/>
          <w:sz w:val="24"/>
          <w:szCs w:val="24"/>
        </w:rPr>
        <w:t xml:space="preserve">Mandragola </w:t>
      </w:r>
      <w:proofErr w:type="spellStart"/>
      <w:r w:rsidRPr="008F252D">
        <w:rPr>
          <w:rFonts w:ascii="Times New Roman" w:hAnsi="Times New Roman" w:cs="Times New Roman"/>
          <w:b/>
          <w:sz w:val="24"/>
          <w:szCs w:val="24"/>
        </w:rPr>
        <w:t>Officinarum</w:t>
      </w:r>
      <w:bookmarkStart w:id="1" w:name="_GoBack"/>
      <w:bookmarkEnd w:id="1"/>
      <w:proofErr w:type="spellEnd"/>
    </w:p>
    <w:p w:rsidR="00EA5C8C" w:rsidRDefault="00625EAF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b/>
          <w:sz w:val="24"/>
          <w:szCs w:val="24"/>
        </w:rPr>
        <w:t>Descrizione del caso clinico:</w:t>
      </w:r>
      <w:r w:rsidRPr="0073148E">
        <w:rPr>
          <w:rFonts w:ascii="Times New Roman" w:hAnsi="Times New Roman" w:cs="Times New Roman"/>
          <w:sz w:val="24"/>
          <w:szCs w:val="24"/>
        </w:rPr>
        <w:t xml:space="preserve"> Un uomo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 una donna rispettivamente di 65 e 61 anni si presenta</w:t>
      </w:r>
      <w:r w:rsidR="00EA5C8C">
        <w:rPr>
          <w:rFonts w:ascii="Times New Roman" w:hAnsi="Times New Roman" w:cs="Times New Roman"/>
          <w:sz w:val="24"/>
          <w:szCs w:val="24"/>
        </w:rPr>
        <w:t>ro</w:t>
      </w:r>
      <w:r w:rsidRPr="0073148E">
        <w:rPr>
          <w:rFonts w:ascii="Times New Roman" w:hAnsi="Times New Roman" w:cs="Times New Roman"/>
          <w:sz w:val="24"/>
          <w:szCs w:val="24"/>
        </w:rPr>
        <w:t xml:space="preserve">no in Pronto Soccorso intorno alle ore 20.00, accusando ambedue </w:t>
      </w:r>
      <w:r w:rsidR="00EA5C8C">
        <w:rPr>
          <w:rFonts w:ascii="Times New Roman" w:hAnsi="Times New Roman" w:cs="Times New Roman"/>
          <w:sz w:val="24"/>
          <w:szCs w:val="24"/>
        </w:rPr>
        <w:t>vertigini e stato confusionale.</w:t>
      </w:r>
    </w:p>
    <w:p w:rsidR="00EA5C8C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Riferirono</w:t>
      </w:r>
      <w:r w:rsidR="00625EAF" w:rsidRPr="0073148E">
        <w:rPr>
          <w:rFonts w:ascii="Times New Roman" w:hAnsi="Times New Roman" w:cs="Times New Roman"/>
          <w:sz w:val="24"/>
          <w:szCs w:val="24"/>
        </w:rPr>
        <w:t xml:space="preserve"> al sanitario di turno di avere ingerito, a pranzo della verdura, da loro raccolta e cucinata. </w:t>
      </w:r>
    </w:p>
    <w:p w:rsidR="00625EAF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donna precisò</w:t>
      </w:r>
      <w:r w:rsidR="00625EAF" w:rsidRPr="0073148E">
        <w:rPr>
          <w:rFonts w:ascii="Times New Roman" w:hAnsi="Times New Roman" w:cs="Times New Roman"/>
          <w:sz w:val="24"/>
          <w:szCs w:val="24"/>
        </w:rPr>
        <w:t xml:space="preserve"> di avere ingerito piccole quantità di cibo, a differenza del marito che ne aveva </w:t>
      </w:r>
      <w:proofErr w:type="gramStart"/>
      <w:r w:rsidR="00625EAF" w:rsidRPr="0073148E">
        <w:rPr>
          <w:rFonts w:ascii="Times New Roman" w:hAnsi="Times New Roman" w:cs="Times New Roman"/>
          <w:sz w:val="24"/>
          <w:szCs w:val="24"/>
        </w:rPr>
        <w:t>consumato</w:t>
      </w:r>
      <w:proofErr w:type="gramEnd"/>
      <w:r w:rsidR="00625EAF" w:rsidRPr="0073148E">
        <w:rPr>
          <w:rFonts w:ascii="Times New Roman" w:hAnsi="Times New Roman" w:cs="Times New Roman"/>
          <w:sz w:val="24"/>
          <w:szCs w:val="24"/>
        </w:rPr>
        <w:t xml:space="preserve"> una dose abbondante.</w:t>
      </w:r>
    </w:p>
    <w:p w:rsidR="00EA5C8C" w:rsidRPr="0073148E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cosa non destò sospetto</w:t>
      </w:r>
      <w:r w:rsidR="005A3518">
        <w:rPr>
          <w:rFonts w:ascii="Times New Roman" w:hAnsi="Times New Roman" w:cs="Times New Roman"/>
          <w:sz w:val="24"/>
          <w:szCs w:val="24"/>
        </w:rPr>
        <w:t xml:space="preserve"> sul momento</w:t>
      </w:r>
      <w:r>
        <w:rPr>
          <w:rFonts w:ascii="Times New Roman" w:hAnsi="Times New Roman" w:cs="Times New Roman"/>
          <w:sz w:val="24"/>
          <w:szCs w:val="24"/>
        </w:rPr>
        <w:t xml:space="preserve">, posto che entrambi dichiararono di aver consumato molte altre volte la medesima verdura la cui presenza, anzi, era di comune riscontro nel loro orto.  </w:t>
      </w:r>
    </w:p>
    <w:p w:rsidR="00625EAF" w:rsidRPr="0073148E" w:rsidRDefault="00625EAF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="00EA5C8C">
        <w:rPr>
          <w:rFonts w:ascii="Times New Roman" w:hAnsi="Times New Roman" w:cs="Times New Roman"/>
          <w:sz w:val="24"/>
          <w:szCs w:val="24"/>
        </w:rPr>
        <w:t>’anamnesi, la donna non riferì patologie degne di nota, mentre l’uomo disse</w:t>
      </w:r>
      <w:r w:rsidRPr="0073148E">
        <w:rPr>
          <w:rFonts w:ascii="Times New Roman" w:hAnsi="Times New Roman" w:cs="Times New Roman"/>
          <w:sz w:val="24"/>
          <w:szCs w:val="24"/>
        </w:rPr>
        <w:t xml:space="preserve"> di essere affetto da ipertensione arteriosa.</w:t>
      </w:r>
    </w:p>
    <w:p w:rsidR="00EA5C8C" w:rsidRDefault="00625EAF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 xml:space="preserve">All’esame obiettivo, la donna non presentava sintomi neurologici, la pressione arteriosa, l’obiettività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>neurologica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 e l’elettrocardiogramma erano nella norma</w:t>
      </w:r>
      <w:r w:rsidR="00EA5C8C">
        <w:rPr>
          <w:rFonts w:ascii="Times New Roman" w:hAnsi="Times New Roman" w:cs="Times New Roman"/>
          <w:sz w:val="24"/>
          <w:szCs w:val="24"/>
        </w:rPr>
        <w:t>.</w:t>
      </w:r>
    </w:p>
    <w:p w:rsidR="00EA5C8C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86ABD" w:rsidRPr="0073148E">
        <w:rPr>
          <w:rFonts w:ascii="Times New Roman" w:hAnsi="Times New Roman" w:cs="Times New Roman"/>
          <w:sz w:val="24"/>
          <w:szCs w:val="24"/>
        </w:rPr>
        <w:t>’uomo</w:t>
      </w:r>
      <w:r>
        <w:rPr>
          <w:rFonts w:ascii="Times New Roman" w:hAnsi="Times New Roman" w:cs="Times New Roman"/>
          <w:sz w:val="24"/>
          <w:szCs w:val="24"/>
        </w:rPr>
        <w:t xml:space="preserve">, invece, </w:t>
      </w:r>
      <w:r w:rsidR="00386ABD" w:rsidRPr="0073148E">
        <w:rPr>
          <w:rFonts w:ascii="Times New Roman" w:hAnsi="Times New Roman" w:cs="Times New Roman"/>
          <w:sz w:val="24"/>
          <w:szCs w:val="24"/>
        </w:rPr>
        <w:t>pur presentando normali valori di pressione arteriosa ed elettrocardiogramma nella norma,</w:t>
      </w:r>
      <w:r>
        <w:rPr>
          <w:rFonts w:ascii="Times New Roman" w:hAnsi="Times New Roman" w:cs="Times New Roman"/>
          <w:sz w:val="24"/>
          <w:szCs w:val="24"/>
        </w:rPr>
        <w:t xml:space="preserve"> manifestava irrequietezza, confusione mentale ed era poco collaborante.</w:t>
      </w:r>
    </w:p>
    <w:p w:rsidR="00625EAF" w:rsidRPr="0073148E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questo, fu </w:t>
      </w:r>
      <w:r w:rsidR="00386ABD" w:rsidRPr="0073148E">
        <w:rPr>
          <w:rFonts w:ascii="Times New Roman" w:hAnsi="Times New Roman" w:cs="Times New Roman"/>
          <w:sz w:val="24"/>
          <w:szCs w:val="24"/>
        </w:rPr>
        <w:t>sottop</w:t>
      </w:r>
      <w:r>
        <w:rPr>
          <w:rFonts w:ascii="Times New Roman" w:hAnsi="Times New Roman" w:cs="Times New Roman"/>
          <w:sz w:val="24"/>
          <w:szCs w:val="24"/>
        </w:rPr>
        <w:t>osto a T</w:t>
      </w:r>
      <w:r w:rsidR="005A35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 encefalo che </w:t>
      </w:r>
      <w:proofErr w:type="gramStart"/>
      <w:r>
        <w:rPr>
          <w:rFonts w:ascii="Times New Roman" w:hAnsi="Times New Roman" w:cs="Times New Roman"/>
          <w:sz w:val="24"/>
          <w:szCs w:val="24"/>
        </w:rPr>
        <w:t>risultò</w:t>
      </w:r>
      <w:proofErr w:type="gramEnd"/>
      <w:r w:rsidR="00386ABD" w:rsidRPr="0073148E">
        <w:rPr>
          <w:rFonts w:ascii="Times New Roman" w:hAnsi="Times New Roman" w:cs="Times New Roman"/>
          <w:sz w:val="24"/>
          <w:szCs w:val="24"/>
        </w:rPr>
        <w:t xml:space="preserve"> nella norma.</w:t>
      </w:r>
    </w:p>
    <w:p w:rsidR="00386ABD" w:rsidRPr="0073148E" w:rsidRDefault="00EA5C8C" w:rsidP="001B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Ambedue i pazienti, comunque, furono</w:t>
      </w:r>
      <w:r w:rsidR="00386ABD" w:rsidRPr="0073148E">
        <w:rPr>
          <w:rFonts w:ascii="Times New Roman" w:hAnsi="Times New Roman" w:cs="Times New Roman"/>
          <w:sz w:val="24"/>
          <w:szCs w:val="24"/>
        </w:rPr>
        <w:t xml:space="preserve"> ricoverati in Osservazione Breve Intensiva e sottoposti iniz</w:t>
      </w:r>
      <w:r>
        <w:rPr>
          <w:rFonts w:ascii="Times New Roman" w:hAnsi="Times New Roman" w:cs="Times New Roman"/>
          <w:sz w:val="24"/>
          <w:szCs w:val="24"/>
        </w:rPr>
        <w:t xml:space="preserve">ialmente a terapia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386ABD" w:rsidRPr="0073148E">
        <w:rPr>
          <w:rFonts w:ascii="Times New Roman" w:hAnsi="Times New Roman" w:cs="Times New Roman"/>
          <w:sz w:val="24"/>
          <w:szCs w:val="24"/>
        </w:rPr>
        <w:t>:</w:t>
      </w:r>
    </w:p>
    <w:p w:rsidR="00386ABD" w:rsidRPr="0073148E" w:rsidRDefault="00386ABD" w:rsidP="00386A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 xml:space="preserve">Sol. </w:t>
      </w:r>
      <w:proofErr w:type="spellStart"/>
      <w:r w:rsidRPr="0073148E">
        <w:rPr>
          <w:rFonts w:ascii="Times New Roman" w:hAnsi="Times New Roman" w:cs="Times New Roman"/>
          <w:sz w:val="24"/>
          <w:szCs w:val="24"/>
        </w:rPr>
        <w:t>Fis</w:t>
      </w:r>
      <w:proofErr w:type="spellEnd"/>
      <w:r w:rsidRPr="0073148E">
        <w:rPr>
          <w:rFonts w:ascii="Times New Roman" w:hAnsi="Times New Roman" w:cs="Times New Roman"/>
          <w:sz w:val="24"/>
          <w:szCs w:val="24"/>
        </w:rPr>
        <w:t>. 500 ml</w:t>
      </w:r>
    </w:p>
    <w:p w:rsidR="00386ABD" w:rsidRPr="0073148E" w:rsidRDefault="00386ABD" w:rsidP="00386A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>Sol. Glucosata 5% 250 ml</w:t>
      </w:r>
    </w:p>
    <w:p w:rsidR="00386ABD" w:rsidRPr="0073148E" w:rsidRDefault="00386ABD" w:rsidP="00386A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>Sol. Elettrolitica 500 ml.</w:t>
      </w:r>
    </w:p>
    <w:p w:rsidR="005A3518" w:rsidRDefault="00386ABD" w:rsidP="00386ABD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>Nella mattinata successiva,</w:t>
      </w:r>
      <w:r w:rsidR="005A3518">
        <w:rPr>
          <w:rFonts w:ascii="Times New Roman" w:hAnsi="Times New Roman" w:cs="Times New Roman"/>
          <w:sz w:val="24"/>
          <w:szCs w:val="24"/>
        </w:rPr>
        <w:t xml:space="preserve"> i sanitari dell’OBI, visitarono entrambi</w:t>
      </w:r>
      <w:r w:rsidRPr="0073148E">
        <w:rPr>
          <w:rFonts w:ascii="Times New Roman" w:hAnsi="Times New Roman" w:cs="Times New Roman"/>
          <w:sz w:val="24"/>
          <w:szCs w:val="24"/>
        </w:rPr>
        <w:t xml:space="preserve"> i pazienti e dai sintomi</w:t>
      </w:r>
      <w:r w:rsidR="002D205F" w:rsidRPr="0073148E">
        <w:rPr>
          <w:rFonts w:ascii="Times New Roman" w:hAnsi="Times New Roman" w:cs="Times New Roman"/>
          <w:sz w:val="24"/>
          <w:szCs w:val="24"/>
        </w:rPr>
        <w:t xml:space="preserve"> descritti, dalla de</w:t>
      </w:r>
      <w:r w:rsidR="00E40C7F" w:rsidRPr="0073148E">
        <w:rPr>
          <w:rFonts w:ascii="Times New Roman" w:hAnsi="Times New Roman" w:cs="Times New Roman"/>
          <w:sz w:val="24"/>
          <w:szCs w:val="24"/>
        </w:rPr>
        <w:t>scrizione della verdura assunta</w:t>
      </w:r>
      <w:r w:rsidR="002D205F" w:rsidRPr="0073148E">
        <w:rPr>
          <w:rFonts w:ascii="Times New Roman" w:hAnsi="Times New Roman" w:cs="Times New Roman"/>
          <w:sz w:val="24"/>
          <w:szCs w:val="24"/>
        </w:rPr>
        <w:t xml:space="preserve"> da parte della donna</w:t>
      </w:r>
      <w:r w:rsidR="005A3518">
        <w:rPr>
          <w:rFonts w:ascii="Times New Roman" w:hAnsi="Times New Roman" w:cs="Times New Roman"/>
          <w:sz w:val="24"/>
          <w:szCs w:val="24"/>
        </w:rPr>
        <w:t xml:space="preserve"> la quale, comunque, continuava </w:t>
      </w:r>
      <w:proofErr w:type="gramStart"/>
      <w:r w:rsidR="005A3518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5A3518">
        <w:rPr>
          <w:rFonts w:ascii="Times New Roman" w:hAnsi="Times New Roman" w:cs="Times New Roman"/>
          <w:sz w:val="24"/>
          <w:szCs w:val="24"/>
        </w:rPr>
        <w:t xml:space="preserve"> essere</w:t>
      </w:r>
      <w:r w:rsidR="002D205F" w:rsidRPr="0073148E">
        <w:rPr>
          <w:rFonts w:ascii="Times New Roman" w:hAnsi="Times New Roman" w:cs="Times New Roman"/>
          <w:sz w:val="24"/>
          <w:szCs w:val="24"/>
        </w:rPr>
        <w:t xml:space="preserve"> assolutamente asintomatica, gi</w:t>
      </w:r>
      <w:r w:rsidR="005A3518">
        <w:rPr>
          <w:rFonts w:ascii="Times New Roman" w:hAnsi="Times New Roman" w:cs="Times New Roman"/>
          <w:sz w:val="24"/>
          <w:szCs w:val="24"/>
        </w:rPr>
        <w:t>ungevano alla conclusione che poteva trattarsi</w:t>
      </w:r>
      <w:r w:rsidR="002D205F" w:rsidRPr="0073148E">
        <w:rPr>
          <w:rFonts w:ascii="Times New Roman" w:hAnsi="Times New Roman" w:cs="Times New Roman"/>
          <w:sz w:val="24"/>
          <w:szCs w:val="24"/>
        </w:rPr>
        <w:t xml:space="preserve"> di u</w:t>
      </w:r>
      <w:r w:rsidR="005A3518">
        <w:rPr>
          <w:rFonts w:ascii="Times New Roman" w:hAnsi="Times New Roman" w:cs="Times New Roman"/>
          <w:sz w:val="24"/>
          <w:szCs w:val="24"/>
        </w:rPr>
        <w:t>na intossicazione da Mandragola.</w:t>
      </w:r>
    </w:p>
    <w:p w:rsidR="00386ABD" w:rsidRPr="0073148E" w:rsidRDefault="005A3518" w:rsidP="00386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Infatti, fu mostrata una foto dell’erba che fu </w:t>
      </w:r>
      <w:r w:rsidR="002D205F" w:rsidRPr="0073148E">
        <w:rPr>
          <w:rFonts w:ascii="Times New Roman" w:hAnsi="Times New Roman" w:cs="Times New Roman"/>
          <w:sz w:val="24"/>
          <w:szCs w:val="24"/>
        </w:rPr>
        <w:t>riconosciuta</w:t>
      </w:r>
      <w:r>
        <w:rPr>
          <w:rFonts w:ascii="Times New Roman" w:hAnsi="Times New Roman" w:cs="Times New Roman"/>
          <w:sz w:val="24"/>
          <w:szCs w:val="24"/>
        </w:rPr>
        <w:t xml:space="preserve"> immediatamente </w:t>
      </w:r>
      <w:r w:rsidR="002D205F" w:rsidRPr="0073148E">
        <w:rPr>
          <w:rFonts w:ascii="Times New Roman" w:hAnsi="Times New Roman" w:cs="Times New Roman"/>
          <w:sz w:val="24"/>
          <w:szCs w:val="24"/>
        </w:rPr>
        <w:t>dalla paziente</w:t>
      </w:r>
      <w:r>
        <w:rPr>
          <w:rFonts w:ascii="Times New Roman" w:hAnsi="Times New Roman" w:cs="Times New Roman"/>
          <w:sz w:val="24"/>
          <w:szCs w:val="24"/>
        </w:rPr>
        <w:t xml:space="preserve"> come molto simile a quella ingerita benché identificata, erroneamente dalla stessa come borragine</w:t>
      </w:r>
      <w:r w:rsidR="002D205F" w:rsidRPr="0073148E">
        <w:rPr>
          <w:rFonts w:ascii="Times New Roman" w:hAnsi="Times New Roman" w:cs="Times New Roman"/>
          <w:sz w:val="24"/>
          <w:szCs w:val="24"/>
        </w:rPr>
        <w:t>.</w:t>
      </w:r>
    </w:p>
    <w:p w:rsidR="002D205F" w:rsidRDefault="002D205F" w:rsidP="00386ABD">
      <w:pPr>
        <w:jc w:val="both"/>
        <w:rPr>
          <w:rFonts w:ascii="Times New Roman" w:hAnsi="Times New Roman" w:cs="Times New Roman"/>
          <w:sz w:val="24"/>
          <w:szCs w:val="24"/>
        </w:rPr>
      </w:pPr>
      <w:r w:rsidRPr="0073148E">
        <w:rPr>
          <w:rFonts w:ascii="Times New Roman" w:hAnsi="Times New Roman" w:cs="Times New Roman"/>
          <w:sz w:val="24"/>
          <w:szCs w:val="24"/>
        </w:rPr>
        <w:t>L’attenzione dei sanitari</w:t>
      </w:r>
      <w:r w:rsidR="005A3518">
        <w:rPr>
          <w:rFonts w:ascii="Times New Roman" w:hAnsi="Times New Roman" w:cs="Times New Roman"/>
          <w:sz w:val="24"/>
          <w:szCs w:val="24"/>
        </w:rPr>
        <w:t>, dunque, si focalizzò</w:t>
      </w:r>
      <w:r w:rsidRPr="0073148E">
        <w:rPr>
          <w:rFonts w:ascii="Times New Roman" w:hAnsi="Times New Roman" w:cs="Times New Roman"/>
          <w:sz w:val="24"/>
          <w:szCs w:val="24"/>
        </w:rPr>
        <w:t xml:space="preserve"> sulle condizioni cliniche dell’uomo, che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>risultava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 ancora confuso, disorientato, senza deficit neurologici focali.</w:t>
      </w:r>
    </w:p>
    <w:p w:rsidR="00243B09" w:rsidRPr="0073148E" w:rsidRDefault="00243B09" w:rsidP="00243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 somministrata fis</w:t>
      </w:r>
      <w:r w:rsidRPr="0073148E">
        <w:rPr>
          <w:rFonts w:ascii="Times New Roman" w:hAnsi="Times New Roman" w:cs="Times New Roman"/>
          <w:sz w:val="24"/>
          <w:szCs w:val="24"/>
        </w:rPr>
        <w:t xml:space="preserve">ostigmina fiale: 0.5 mg x via endovenosa senza apparente beneficio, dopo circa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 minuti, veniva somministrata ulteriore dose di 0.5 mg x via endovenosa con marcato e progressivo miglioramento della sintomatologia.</w:t>
      </w:r>
    </w:p>
    <w:p w:rsidR="00243B09" w:rsidRDefault="00243B09" w:rsidP="00243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pazienti furono</w:t>
      </w:r>
      <w:r w:rsidRPr="0073148E">
        <w:rPr>
          <w:rFonts w:ascii="Times New Roman" w:hAnsi="Times New Roman" w:cs="Times New Roman"/>
          <w:sz w:val="24"/>
          <w:szCs w:val="24"/>
        </w:rPr>
        <w:t xml:space="preserve"> sottoposti </w:t>
      </w:r>
      <w:proofErr w:type="gramStart"/>
      <w:r w:rsidRPr="0073148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73148E">
        <w:rPr>
          <w:rFonts w:ascii="Times New Roman" w:hAnsi="Times New Roman" w:cs="Times New Roman"/>
          <w:sz w:val="24"/>
          <w:szCs w:val="24"/>
        </w:rPr>
        <w:t xml:space="preserve"> ulteriori 24 ore di o</w:t>
      </w:r>
      <w:r>
        <w:rPr>
          <w:rFonts w:ascii="Times New Roman" w:hAnsi="Times New Roman" w:cs="Times New Roman"/>
          <w:sz w:val="24"/>
          <w:szCs w:val="24"/>
        </w:rPr>
        <w:t>sservazione dopo di che furono</w:t>
      </w:r>
      <w:r w:rsidRPr="0073148E">
        <w:rPr>
          <w:rFonts w:ascii="Times New Roman" w:hAnsi="Times New Roman" w:cs="Times New Roman"/>
          <w:sz w:val="24"/>
          <w:szCs w:val="24"/>
        </w:rPr>
        <w:t xml:space="preserve"> dimessi assolutamente asintomatici.</w:t>
      </w:r>
    </w:p>
    <w:p w:rsidR="00243B09" w:rsidRDefault="00243B09" w:rsidP="00243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6E7" w:rsidRDefault="00243B09" w:rsidP="008A66E7">
      <w:pPr>
        <w:pStyle w:val="NormaleWeb"/>
        <w:spacing w:line="276" w:lineRule="auto"/>
        <w:jc w:val="both"/>
      </w:pPr>
      <w:r w:rsidRPr="008A66E7">
        <w:t xml:space="preserve">DISCUSSIONE: </w:t>
      </w:r>
      <w:r w:rsidR="008A66E7" w:rsidRPr="008A66E7">
        <w:t xml:space="preserve">Le intossicazioni da piante o erbe sono relativamente frequenti e riguardano nella maggior parte dei casi l'ingestione di piante ornamentali d'appartamento da parte di bambini </w:t>
      </w:r>
      <w:proofErr w:type="gramStart"/>
      <w:r w:rsidR="008A66E7" w:rsidRPr="008A66E7">
        <w:t>al di sotto dei</w:t>
      </w:r>
      <w:proofErr w:type="gramEnd"/>
      <w:r w:rsidR="008A66E7" w:rsidRPr="008A66E7">
        <w:t xml:space="preserve"> 6 anni (1</w:t>
      </w:r>
      <w:r w:rsidR="008A66E7">
        <w:t>-4</w:t>
      </w:r>
      <w:r w:rsidR="008A66E7" w:rsidRPr="008A66E7">
        <w:t>).</w:t>
      </w:r>
    </w:p>
    <w:p w:rsidR="008A66E7" w:rsidRDefault="008A66E7" w:rsidP="008A66E7">
      <w:pPr>
        <w:pStyle w:val="NormaleWeb"/>
        <w:spacing w:line="276" w:lineRule="auto"/>
        <w:jc w:val="both"/>
      </w:pPr>
      <w:r w:rsidRPr="008A66E7">
        <w:t>Le manifestazioni tossiche</w:t>
      </w:r>
      <w:r>
        <w:t xml:space="preserve"> connesse con l’ingestione di</w:t>
      </w:r>
      <w:r w:rsidRPr="008A66E7">
        <w:t xml:space="preserve"> piante riguardano principalmente il sistema gastroenterico,</w:t>
      </w:r>
      <w:r>
        <w:t xml:space="preserve"> cardiovascolare e nervoso centrale e dipendono da sostanze anticolinergiche </w:t>
      </w:r>
      <w:r w:rsidRPr="008A66E7">
        <w:t>contenute nelle foglie</w:t>
      </w:r>
      <w:r>
        <w:t xml:space="preserve"> e nelle radici.</w:t>
      </w:r>
    </w:p>
    <w:p w:rsidR="008A66E7" w:rsidRPr="008A66E7" w:rsidRDefault="008A66E7" w:rsidP="008A66E7">
      <w:pPr>
        <w:pStyle w:val="NormaleWeb"/>
        <w:spacing w:line="276" w:lineRule="auto"/>
        <w:jc w:val="both"/>
      </w:pPr>
      <w:r>
        <w:t>Le manifestazioni sintomatologiche</w:t>
      </w:r>
      <w:r w:rsidR="00FE568F">
        <w:t xml:space="preserve"> s’</w:t>
      </w:r>
      <w:r>
        <w:t xml:space="preserve">inquadrano nella cosiddetta </w:t>
      </w:r>
      <w:r w:rsidRPr="008A66E7">
        <w:rPr>
          <w:i/>
        </w:rPr>
        <w:t>“sindrome anticolinergica centrale (SAC</w:t>
      </w:r>
      <w:proofErr w:type="gramStart"/>
      <w:r w:rsidRPr="008A66E7">
        <w:rPr>
          <w:i/>
        </w:rPr>
        <w:t>)</w:t>
      </w:r>
      <w:proofErr w:type="gramEnd"/>
      <w:r w:rsidRPr="008A66E7">
        <w:rPr>
          <w:i/>
        </w:rPr>
        <w:t xml:space="preserve">” </w:t>
      </w:r>
      <w:r>
        <w:t xml:space="preserve">che è </w:t>
      </w:r>
      <w:r w:rsidRPr="008A66E7">
        <w:t>abbastanza caratteristica e viene ricordata con il ritornello anglosassone (2</w:t>
      </w:r>
      <w:r>
        <w:t>-4</w:t>
      </w:r>
      <w:r w:rsidRPr="008A66E7">
        <w:t xml:space="preserve">) : 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0"/>
        <w:gridCol w:w="3315"/>
      </w:tblGrid>
      <w:tr w:rsidR="008A66E7" w:rsidRPr="008A66E7" w:rsidTr="008A66E7">
        <w:trPr>
          <w:tblCellSpacing w:w="15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 xml:space="preserve">Hot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hare</w:t>
            </w:r>
            <w:proofErr w:type="spellEnd"/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Caldo come una lepre</w:t>
            </w:r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A66E7" w:rsidRPr="008A66E7" w:rsidTr="008A66E7">
        <w:trPr>
          <w:tblCellSpacing w:w="15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A66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Blind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as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bat</w:t>
            </w:r>
            <w:proofErr w:type="spellEnd"/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Cieco come un pipistrello</w:t>
            </w:r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A66E7" w:rsidRPr="008A66E7" w:rsidTr="008A66E7">
        <w:trPr>
          <w:tblCellSpacing w:w="15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A66E7">
              <w:rPr>
                <w:rFonts w:ascii="Arial" w:eastAsia="Times New Roman" w:hAnsi="Arial" w:cs="Arial"/>
                <w:b/>
                <w:bCs/>
                <w:color w:val="00FFFF"/>
                <w:sz w:val="20"/>
                <w:szCs w:val="20"/>
                <w:lang w:eastAsia="it-IT"/>
              </w:rPr>
              <w:t>Dry</w:t>
            </w:r>
            <w:proofErr w:type="gramEnd"/>
            <w:r w:rsidRPr="008A66E7">
              <w:rPr>
                <w:rFonts w:ascii="Arial" w:eastAsia="Times New Roman" w:hAnsi="Arial" w:cs="Arial"/>
                <w:b/>
                <w:bCs/>
                <w:color w:val="00FFF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color w:val="00FFFF"/>
                <w:sz w:val="20"/>
                <w:szCs w:val="20"/>
                <w:lang w:eastAsia="it-IT"/>
              </w:rPr>
              <w:t>as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color w:val="00FFFF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color w:val="00FFFF"/>
                <w:sz w:val="20"/>
                <w:szCs w:val="20"/>
                <w:lang w:eastAsia="it-IT"/>
              </w:rPr>
              <w:t>bone</w:t>
            </w:r>
            <w:proofErr w:type="spellEnd"/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Secco come un osso</w:t>
            </w:r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A66E7" w:rsidRPr="008A66E7" w:rsidTr="008A66E7">
        <w:trPr>
          <w:tblCellSpacing w:w="15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Red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beet</w:t>
            </w:r>
            <w:proofErr w:type="spellEnd"/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Rosso come una barbabietola</w:t>
            </w:r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A66E7" w:rsidRPr="008A66E7" w:rsidTr="008A66E7">
        <w:trPr>
          <w:tblCellSpacing w:w="15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Mad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</w:t>
            </w:r>
            <w:proofErr w:type="spellEnd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8A6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hen</w:t>
            </w:r>
            <w:proofErr w:type="spellEnd"/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6E7" w:rsidRPr="008A66E7" w:rsidRDefault="008A66E7" w:rsidP="008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Matto come </w:t>
            </w:r>
            <w:proofErr w:type="gramStart"/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</w:t>
            </w:r>
            <w:proofErr w:type="gramEnd"/>
            <w:r w:rsidRPr="008A66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gallina</w:t>
            </w:r>
            <w:r w:rsidRPr="008A66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8A66E7" w:rsidRDefault="008A66E7" w:rsidP="008A66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8A66E7" w:rsidRDefault="008A66E7" w:rsidP="008A66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66E7">
        <w:rPr>
          <w:i/>
        </w:rPr>
        <w:t>“</w:t>
      </w:r>
      <w:r w:rsidRPr="008A66E7">
        <w:rPr>
          <w:rFonts w:ascii="Times New Roman" w:hAnsi="Times New Roman" w:cs="Times New Roman"/>
          <w:i/>
          <w:sz w:val="24"/>
          <w:szCs w:val="24"/>
        </w:rPr>
        <w:t>sindrome anticolinergica centrale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racchiude</w:t>
      </w:r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segni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sintomi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centrali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periferici.</w:t>
      </w:r>
    </w:p>
    <w:p w:rsidR="008A66E7" w:rsidRDefault="008A66E7" w:rsidP="008A66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Molte sostanze tra le quali gli </w:t>
      </w:r>
      <w:proofErr w:type="spellStart"/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antiistaminici</w:t>
      </w:r>
      <w:proofErr w:type="spellEnd"/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gli antidepressivi </w:t>
      </w:r>
      <w:proofErr w:type="spellStart"/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triciclici</w:t>
      </w:r>
      <w:proofErr w:type="spellEnd"/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, i neurolettici e alcune piante della famiglia della Solanacee, possono essere responsabili di questa sindrome.</w:t>
      </w:r>
    </w:p>
    <w:p w:rsidR="00B114B8" w:rsidRDefault="008A66E7" w:rsidP="00B114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Gli effetti sono determinati dall'antagonismo competitivo nei confronti dell'</w:t>
      </w:r>
      <w:proofErr w:type="spellStart"/>
      <w:r w:rsidR="001E1B79">
        <w:rPr>
          <w:rFonts w:ascii="Times New Roman" w:eastAsia="Times New Roman" w:hAnsi="Times New Roman" w:cs="Times New Roman"/>
          <w:sz w:val="24"/>
          <w:szCs w:val="24"/>
          <w:lang w:eastAsia="it-IT"/>
        </w:rPr>
        <w:t>acetilcolina</w:t>
      </w:r>
      <w:proofErr w:type="spellEnd"/>
      <w:r w:rsidR="001E1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livello dei recettori </w:t>
      </w:r>
      <w:r w:rsidRPr="008A66E7">
        <w:rPr>
          <w:rFonts w:ascii="Times New Roman" w:eastAsia="Times New Roman" w:hAnsi="Times New Roman" w:cs="Times New Roman"/>
          <w:sz w:val="24"/>
          <w:szCs w:val="24"/>
          <w:lang w:eastAsia="it-IT"/>
        </w:rPr>
        <w:t>musc</w:t>
      </w:r>
      <w:r w:rsidR="00B114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arinici </w:t>
      </w:r>
      <w:proofErr w:type="gramStart"/>
      <w:r w:rsidR="00B114B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B114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queste sostanze (3).</w:t>
      </w:r>
    </w:p>
    <w:p w:rsidR="00B114B8" w:rsidRDefault="00243B09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casi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sz w:val="24"/>
          <w:szCs w:val="24"/>
        </w:rPr>
        <w:t>intossicazione da mandragola, l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e manifestazioni neurologiche, come le allucinazioni, la confusione mentale, i deliri, le convulsioni fino alla letargia e al coma richiedono l'uso di un antidoto, la </w:t>
      </w:r>
      <w:r w:rsidR="001E1B79" w:rsidRPr="001E1B79">
        <w:rPr>
          <w:rFonts w:ascii="Times New Roman" w:hAnsi="Times New Roman" w:cs="Times New Roman"/>
          <w:i/>
          <w:sz w:val="24"/>
          <w:szCs w:val="24"/>
        </w:rPr>
        <w:t>“</w:t>
      </w:r>
      <w:r w:rsidR="00EB10F5" w:rsidRPr="001E1B79">
        <w:rPr>
          <w:rFonts w:ascii="Times New Roman" w:hAnsi="Times New Roman" w:cs="Times New Roman"/>
          <w:i/>
          <w:sz w:val="24"/>
          <w:szCs w:val="24"/>
        </w:rPr>
        <w:t>fisostigmina</w:t>
      </w:r>
      <w:r w:rsidR="001E1B79" w:rsidRPr="001E1B79">
        <w:rPr>
          <w:rFonts w:ascii="Times New Roman" w:hAnsi="Times New Roman" w:cs="Times New Roman"/>
          <w:i/>
          <w:sz w:val="24"/>
          <w:szCs w:val="24"/>
        </w:rPr>
        <w:t>”</w:t>
      </w:r>
      <w:r w:rsidR="00EB10F5" w:rsidRPr="001E1B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ossia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 un inibitore reversibile dell'</w:t>
      </w:r>
      <w:proofErr w:type="spellStart"/>
      <w:r w:rsidR="00EB10F5" w:rsidRPr="00924387">
        <w:rPr>
          <w:rFonts w:ascii="Times New Roman" w:hAnsi="Times New Roman" w:cs="Times New Roman"/>
          <w:sz w:val="24"/>
          <w:szCs w:val="24"/>
        </w:rPr>
        <w:t>acetil</w:t>
      </w:r>
      <w:r w:rsidR="00B114B8">
        <w:rPr>
          <w:rFonts w:ascii="Times New Roman" w:hAnsi="Times New Roman" w:cs="Times New Roman"/>
          <w:sz w:val="24"/>
          <w:szCs w:val="24"/>
        </w:rPr>
        <w:t>colinesterasi</w:t>
      </w:r>
      <w:proofErr w:type="spellEnd"/>
      <w:r w:rsidR="00B114B8">
        <w:rPr>
          <w:rFonts w:ascii="Times New Roman" w:hAnsi="Times New Roman" w:cs="Times New Roman"/>
          <w:sz w:val="24"/>
          <w:szCs w:val="24"/>
        </w:rPr>
        <w:t>.</w:t>
      </w:r>
    </w:p>
    <w:p w:rsidR="00F53C73" w:rsidRDefault="001E1B79" w:rsidP="00F53C73">
      <w:pPr>
        <w:pStyle w:val="NormaleWeb"/>
        <w:spacing w:line="276" w:lineRule="auto"/>
        <w:jc w:val="both"/>
      </w:pPr>
      <w:r w:rsidRPr="00F53C73">
        <w:t xml:space="preserve">La </w:t>
      </w:r>
      <w:r w:rsidRPr="00F53C73">
        <w:rPr>
          <w:b/>
          <w:bCs/>
        </w:rPr>
        <w:t>fisostigmina</w:t>
      </w:r>
      <w:r w:rsidRPr="00F53C73">
        <w:t xml:space="preserve"> è un </w:t>
      </w:r>
      <w:hyperlink r:id="rId9" w:tooltip="Alcaloide" w:history="1">
        <w:r w:rsidRPr="00F53C73">
          <w:rPr>
            <w:rStyle w:val="Collegamentoipertestuale"/>
            <w:color w:val="auto"/>
            <w:u w:val="none"/>
          </w:rPr>
          <w:t>alcaloide</w:t>
        </w:r>
      </w:hyperlink>
      <w:r w:rsidRPr="00F53C73">
        <w:t xml:space="preserve"> ottenuto dai </w:t>
      </w:r>
      <w:hyperlink r:id="rId10" w:tooltip="Seme" w:history="1">
        <w:r w:rsidRPr="00F53C73">
          <w:rPr>
            <w:rStyle w:val="Collegamentoipertestuale"/>
            <w:color w:val="auto"/>
            <w:u w:val="none"/>
          </w:rPr>
          <w:t>semi</w:t>
        </w:r>
      </w:hyperlink>
      <w:r w:rsidRPr="00F53C73">
        <w:t xml:space="preserve"> della </w:t>
      </w:r>
      <w:hyperlink r:id="rId11" w:tooltip="Fava del Calabar (pagina inesistente)" w:history="1">
        <w:r w:rsidRPr="00F53C73">
          <w:rPr>
            <w:rStyle w:val="Collegamentoipertestuale"/>
            <w:color w:val="auto"/>
            <w:u w:val="none"/>
          </w:rPr>
          <w:t xml:space="preserve">fava del </w:t>
        </w:r>
        <w:proofErr w:type="spellStart"/>
        <w:r w:rsidRPr="00F53C73">
          <w:rPr>
            <w:rStyle w:val="Collegamentoipertestuale"/>
            <w:color w:val="auto"/>
            <w:u w:val="none"/>
          </w:rPr>
          <w:t>Calabar</w:t>
        </w:r>
        <w:proofErr w:type="spellEnd"/>
      </w:hyperlink>
      <w:r w:rsidRPr="00F53C73">
        <w:t xml:space="preserve"> </w:t>
      </w:r>
      <w:r w:rsidR="00F53C73">
        <w:t>(</w:t>
      </w:r>
      <w:proofErr w:type="spellStart"/>
      <w:r w:rsidR="00F53C73">
        <w:t>Camerum</w:t>
      </w:r>
      <w:proofErr w:type="spellEnd"/>
      <w:r w:rsidR="00F53C73">
        <w:t>),</w:t>
      </w:r>
      <w:r w:rsidRPr="00F53C73">
        <w:t xml:space="preserve"> utilizzata dalle popolazioni indigene per sommari </w:t>
      </w:r>
      <w:r w:rsidRPr="00F53C73">
        <w:rPr>
          <w:i/>
        </w:rPr>
        <w:t>"giudizi di Dio"</w:t>
      </w:r>
      <w:r w:rsidR="00F53C73">
        <w:t>.</w:t>
      </w:r>
    </w:p>
    <w:p w:rsidR="001E1B79" w:rsidRPr="00F53C73" w:rsidRDefault="00F53C73" w:rsidP="00F53C73">
      <w:pPr>
        <w:pStyle w:val="NormaleWeb"/>
        <w:spacing w:line="276" w:lineRule="auto"/>
        <w:jc w:val="both"/>
      </w:pPr>
      <w:r>
        <w:t>S</w:t>
      </w:r>
      <w:r w:rsidR="001E1B79" w:rsidRPr="00F53C73">
        <w:t xml:space="preserve">i obbligava il sospetto di reità </w:t>
      </w:r>
      <w:proofErr w:type="gramStart"/>
      <w:r w:rsidR="001E1B79" w:rsidRPr="00F53C73">
        <w:t>ad</w:t>
      </w:r>
      <w:proofErr w:type="gramEnd"/>
      <w:r w:rsidR="001E1B79" w:rsidRPr="00F53C73">
        <w:t xml:space="preserve"> ingerirne il decotto e si riteneva che la sua sopravvivenza fosse prova della sua innocenza.</w:t>
      </w:r>
    </w:p>
    <w:p w:rsidR="00F53C73" w:rsidRDefault="001E1B79" w:rsidP="00F53C73">
      <w:pPr>
        <w:pStyle w:val="NormaleWeb"/>
        <w:spacing w:line="276" w:lineRule="auto"/>
        <w:jc w:val="both"/>
      </w:pPr>
      <w:r w:rsidRPr="00F53C73">
        <w:t xml:space="preserve">La sua sintesi ha come precursore l'amminoacido </w:t>
      </w:r>
      <w:hyperlink r:id="rId12" w:tooltip="Triptofano" w:history="1">
        <w:proofErr w:type="spellStart"/>
        <w:r w:rsidRPr="00F53C73">
          <w:rPr>
            <w:rStyle w:val="Collegamentoipertestuale"/>
            <w:color w:val="auto"/>
            <w:u w:val="none"/>
          </w:rPr>
          <w:t>triptofano</w:t>
        </w:r>
        <w:proofErr w:type="spellEnd"/>
      </w:hyperlink>
      <w:r w:rsidR="00F53C73">
        <w:t>.</w:t>
      </w:r>
    </w:p>
    <w:p w:rsidR="001E1B79" w:rsidRPr="00F53C73" w:rsidRDefault="00F53C73" w:rsidP="00F53C73">
      <w:pPr>
        <w:pStyle w:val="NormaleWeb"/>
        <w:spacing w:line="276" w:lineRule="auto"/>
        <w:jc w:val="both"/>
      </w:pPr>
      <w:r>
        <w:t xml:space="preserve">La sostanza fu </w:t>
      </w:r>
      <w:r w:rsidR="001E1B79" w:rsidRPr="00F53C73">
        <w:t xml:space="preserve">scoperta nel 1863 da </w:t>
      </w:r>
      <w:proofErr w:type="gramStart"/>
      <w:r w:rsidR="001E1B79" w:rsidRPr="00F53C73">
        <w:t>J.</w:t>
      </w:r>
      <w:proofErr w:type="gramEnd"/>
      <w:r w:rsidR="001E1B79" w:rsidRPr="00F53C73">
        <w:t xml:space="preserve"> </w:t>
      </w:r>
      <w:proofErr w:type="spellStart"/>
      <w:r w:rsidR="001E1B79" w:rsidRPr="00F53C73">
        <w:t>J</w:t>
      </w:r>
      <w:r>
        <w:t>obst</w:t>
      </w:r>
      <w:proofErr w:type="spellEnd"/>
      <w:r>
        <w:t xml:space="preserve"> e Otto Hesse e fu </w:t>
      </w:r>
      <w:r w:rsidR="001E1B79" w:rsidRPr="00F53C73">
        <w:t xml:space="preserve">sintetizzata da </w:t>
      </w:r>
      <w:proofErr w:type="spellStart"/>
      <w:r w:rsidR="001E1B79" w:rsidRPr="00F53C73">
        <w:t>Percy</w:t>
      </w:r>
      <w:proofErr w:type="spellEnd"/>
      <w:r w:rsidR="001E1B79" w:rsidRPr="00F53C73">
        <w:t xml:space="preserve"> </w:t>
      </w:r>
      <w:proofErr w:type="spellStart"/>
      <w:r w:rsidR="001E1B79" w:rsidRPr="00F53C73">
        <w:t>Lavon</w:t>
      </w:r>
      <w:proofErr w:type="spellEnd"/>
      <w:r w:rsidR="001E1B79" w:rsidRPr="00F53C73">
        <w:t xml:space="preserve"> </w:t>
      </w:r>
      <w:proofErr w:type="spellStart"/>
      <w:r w:rsidR="001E1B79" w:rsidRPr="00F53C73">
        <w:t>Julian</w:t>
      </w:r>
      <w:proofErr w:type="spellEnd"/>
      <w:r w:rsidR="001E1B79" w:rsidRPr="00F53C73">
        <w:t xml:space="preserve"> and Josef </w:t>
      </w:r>
      <w:proofErr w:type="spellStart"/>
      <w:r w:rsidR="001E1B79" w:rsidRPr="00F53C73">
        <w:t>Pikl</w:t>
      </w:r>
      <w:proofErr w:type="spellEnd"/>
      <w:r w:rsidR="001E1B79" w:rsidRPr="00F53C73">
        <w:t xml:space="preserve"> nel 1935.</w:t>
      </w:r>
      <w:r>
        <w:t xml:space="preserve"> (5)</w:t>
      </w:r>
      <w:r w:rsidRPr="00F53C73">
        <w:t xml:space="preserve"> </w:t>
      </w:r>
    </w:p>
    <w:p w:rsidR="00F53C73" w:rsidRDefault="00F53C73" w:rsidP="00F53C73">
      <w:pPr>
        <w:pStyle w:val="NormaleWeb"/>
        <w:spacing w:line="276" w:lineRule="auto"/>
        <w:jc w:val="both"/>
      </w:pPr>
      <w:r>
        <w:t xml:space="preserve">E’ utilizzata </w:t>
      </w:r>
      <w:r w:rsidR="001E1B79" w:rsidRPr="00F53C73">
        <w:t xml:space="preserve">in </w:t>
      </w:r>
      <w:hyperlink r:id="rId13" w:tooltip="Farmacologia" w:history="1">
        <w:r w:rsidR="001E1B79" w:rsidRPr="00F53C73">
          <w:rPr>
            <w:rStyle w:val="Collegamentoipertestuale"/>
            <w:color w:val="auto"/>
            <w:u w:val="none"/>
          </w:rPr>
          <w:t>farmacologia</w:t>
        </w:r>
      </w:hyperlink>
      <w:r w:rsidR="001E1B79" w:rsidRPr="00F53C73">
        <w:t xml:space="preserve"> per la sua caratteristica </w:t>
      </w:r>
      <w:proofErr w:type="gramStart"/>
      <w:r w:rsidR="001E1B79" w:rsidRPr="00F53C73">
        <w:t xml:space="preserve">di </w:t>
      </w:r>
      <w:proofErr w:type="gramEnd"/>
      <w:r w:rsidR="001E1B79" w:rsidRPr="00F53C73">
        <w:t>inibitore reversibile dell'</w:t>
      </w:r>
      <w:proofErr w:type="spellStart"/>
      <w:r w:rsidR="00965038" w:rsidRPr="00F53C73">
        <w:fldChar w:fldCharType="begin"/>
      </w:r>
      <w:r w:rsidR="001E1B79" w:rsidRPr="00F53C73">
        <w:instrText xml:space="preserve"> HYPERLINK "http://it.wikipedia.org/wiki/Acetilcolinesterasi" \o "Acetilcolinesterasi" </w:instrText>
      </w:r>
      <w:r w:rsidR="00965038" w:rsidRPr="00F53C73">
        <w:fldChar w:fldCharType="separate"/>
      </w:r>
      <w:r w:rsidR="001E1B79" w:rsidRPr="00F53C73">
        <w:rPr>
          <w:rStyle w:val="Collegamentoipertestuale"/>
          <w:color w:val="auto"/>
          <w:u w:val="none"/>
        </w:rPr>
        <w:t>acetilcolinesterasi</w:t>
      </w:r>
      <w:proofErr w:type="spellEnd"/>
      <w:r w:rsidR="00965038" w:rsidRPr="00F53C73">
        <w:fldChar w:fldCharType="end"/>
      </w:r>
      <w:r w:rsidR="001E1B79" w:rsidRPr="00F53C73">
        <w:t xml:space="preserve">, </w:t>
      </w:r>
      <w:hyperlink r:id="rId14" w:tooltip="Enzima" w:history="1">
        <w:r w:rsidR="001E1B79" w:rsidRPr="00F53C73">
          <w:rPr>
            <w:rStyle w:val="Collegamentoipertestuale"/>
            <w:color w:val="auto"/>
            <w:u w:val="none"/>
          </w:rPr>
          <w:t>enzima</w:t>
        </w:r>
      </w:hyperlink>
      <w:r w:rsidR="001E1B79" w:rsidRPr="00F53C73">
        <w:t xml:space="preserve"> che viene </w:t>
      </w:r>
      <w:hyperlink r:id="rId15" w:tooltip="Inibitore enzimatico" w:history="1">
        <w:r w:rsidR="001E1B79" w:rsidRPr="00F53C73">
          <w:rPr>
            <w:rStyle w:val="Collegamentoipertestuale"/>
            <w:color w:val="auto"/>
            <w:u w:val="none"/>
          </w:rPr>
          <w:t>inibito</w:t>
        </w:r>
      </w:hyperlink>
      <w:r w:rsidR="001E1B79" w:rsidRPr="00F53C73">
        <w:t xml:space="preserve"> per reazione di </w:t>
      </w:r>
      <w:hyperlink r:id="rId16" w:tooltip="Carbamilazione (pagina inesistente)" w:history="1">
        <w:proofErr w:type="spellStart"/>
        <w:r w:rsidR="001E1B79" w:rsidRPr="00F53C73">
          <w:rPr>
            <w:rStyle w:val="Collegamentoipertestuale"/>
            <w:color w:val="auto"/>
            <w:u w:val="none"/>
          </w:rPr>
          <w:t>carbamilazione</w:t>
        </w:r>
        <w:proofErr w:type="spellEnd"/>
      </w:hyperlink>
      <w:r>
        <w:t>.</w:t>
      </w:r>
    </w:p>
    <w:p w:rsidR="00F53C73" w:rsidRDefault="00F53C73" w:rsidP="00F53C73">
      <w:pPr>
        <w:pStyle w:val="NormaleWeb"/>
        <w:spacing w:line="276" w:lineRule="auto"/>
        <w:jc w:val="both"/>
      </w:pPr>
      <w:r>
        <w:t>È efficace</w:t>
      </w:r>
      <w:r w:rsidR="001E1B79" w:rsidRPr="00F53C73">
        <w:t xml:space="preserve"> come cura contro i </w:t>
      </w:r>
      <w:hyperlink r:id="rId17" w:tooltip="Veleno" w:history="1">
        <w:r w:rsidR="001E1B79" w:rsidRPr="00F53C73">
          <w:rPr>
            <w:rStyle w:val="Collegamentoipertestuale"/>
            <w:color w:val="auto"/>
            <w:u w:val="none"/>
          </w:rPr>
          <w:t>veleni</w:t>
        </w:r>
      </w:hyperlink>
      <w:r w:rsidR="001E1B79" w:rsidRPr="00F53C73">
        <w:t xml:space="preserve"> anticolinergici e mostra efficacia anche contro malattie come il </w:t>
      </w:r>
      <w:hyperlink r:id="rId18" w:tooltip="Morbo di Parkinson" w:history="1">
        <w:r w:rsidR="001E1B79" w:rsidRPr="00F53C73">
          <w:rPr>
            <w:rStyle w:val="Collegamentoipertestuale"/>
            <w:color w:val="auto"/>
            <w:u w:val="none"/>
          </w:rPr>
          <w:t>morbo di Parkinson</w:t>
        </w:r>
      </w:hyperlink>
      <w:r w:rsidR="001E1B79" w:rsidRPr="00F53C73">
        <w:t xml:space="preserve"> e quello di </w:t>
      </w:r>
      <w:hyperlink r:id="rId19" w:tooltip="Morbo di Alzheimer" w:history="1">
        <w:r w:rsidR="001E1B79" w:rsidRPr="00F53C73">
          <w:rPr>
            <w:rStyle w:val="Collegamentoipertestuale"/>
            <w:color w:val="auto"/>
            <w:u w:val="none"/>
          </w:rPr>
          <w:t>Alzheimer</w:t>
        </w:r>
      </w:hyperlink>
      <w:r>
        <w:t>.</w:t>
      </w:r>
    </w:p>
    <w:p w:rsidR="00B114B8" w:rsidRDefault="00EB10F5" w:rsidP="00F53C73">
      <w:pPr>
        <w:pStyle w:val="NormaleWeb"/>
        <w:spacing w:line="276" w:lineRule="auto"/>
        <w:jc w:val="both"/>
      </w:pPr>
      <w:r w:rsidRPr="00924387">
        <w:t xml:space="preserve">La fisostigmina, diversamente da altre sostanze chimicamente affini, quali la </w:t>
      </w:r>
      <w:proofErr w:type="spellStart"/>
      <w:r w:rsidRPr="00924387">
        <w:t>neostigmina</w:t>
      </w:r>
      <w:proofErr w:type="spellEnd"/>
      <w:r w:rsidRPr="00924387">
        <w:t xml:space="preserve">, attraversa la barriera </w:t>
      </w:r>
      <w:proofErr w:type="spellStart"/>
      <w:r w:rsidRPr="00924387">
        <w:t>emato-encefalica</w:t>
      </w:r>
      <w:proofErr w:type="spellEnd"/>
      <w:r w:rsidRPr="00924387">
        <w:t xml:space="preserve"> e </w:t>
      </w:r>
      <w:proofErr w:type="spellStart"/>
      <w:r w:rsidRPr="00924387">
        <w:t>antagonizza</w:t>
      </w:r>
      <w:proofErr w:type="spellEnd"/>
      <w:r w:rsidR="00F53C73">
        <w:t xml:space="preserve"> sia gli effetti centrali sia</w:t>
      </w:r>
      <w:r w:rsidRPr="00924387">
        <w:t xml:space="preserve"> quelli periferici d</w:t>
      </w:r>
      <w:r w:rsidR="00B114B8">
        <w:t>elle sostanze anticolinergiche.</w:t>
      </w:r>
    </w:p>
    <w:p w:rsidR="00B114B8" w:rsidRDefault="00B114B8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fisostigmina,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 infatti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efficace anche nei confronti delle turbe del ritmo cardiaco (tachicardia) e nel blocco delle secrezioni, mentre è </w:t>
      </w:r>
      <w:proofErr w:type="gramStart"/>
      <w:r w:rsidR="00EB10F5" w:rsidRPr="00924387">
        <w:rPr>
          <w:rFonts w:ascii="Times New Roman" w:hAnsi="Times New Roman" w:cs="Times New Roman"/>
          <w:sz w:val="24"/>
          <w:szCs w:val="24"/>
        </w:rPr>
        <w:t>poco attiva</w:t>
      </w:r>
      <w:proofErr w:type="gramEnd"/>
      <w:r w:rsidR="00EB10F5" w:rsidRPr="0092438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ei disturbi dell'accomodazione.</w:t>
      </w:r>
    </w:p>
    <w:p w:rsidR="00B114B8" w:rsidRDefault="00EB10F5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4387">
        <w:rPr>
          <w:rFonts w:ascii="Times New Roman" w:hAnsi="Times New Roman" w:cs="Times New Roman"/>
          <w:sz w:val="24"/>
          <w:szCs w:val="24"/>
        </w:rPr>
        <w:lastRenderedPageBreak/>
        <w:t xml:space="preserve">L'uso della </w:t>
      </w:r>
      <w:proofErr w:type="gramStart"/>
      <w:r w:rsidRPr="00924387">
        <w:rPr>
          <w:rFonts w:ascii="Times New Roman" w:hAnsi="Times New Roman" w:cs="Times New Roman"/>
          <w:sz w:val="24"/>
          <w:szCs w:val="24"/>
        </w:rPr>
        <w:t>fisostigmina,</w:t>
      </w:r>
      <w:proofErr w:type="gramEnd"/>
      <w:r w:rsidRPr="00924387">
        <w:rPr>
          <w:rFonts w:ascii="Times New Roman" w:hAnsi="Times New Roman" w:cs="Times New Roman"/>
          <w:sz w:val="24"/>
          <w:szCs w:val="24"/>
        </w:rPr>
        <w:t xml:space="preserve"> non</w:t>
      </w:r>
      <w:r w:rsidR="00B114B8">
        <w:rPr>
          <w:rFonts w:ascii="Times New Roman" w:hAnsi="Times New Roman" w:cs="Times New Roman"/>
          <w:sz w:val="24"/>
          <w:szCs w:val="24"/>
        </w:rPr>
        <w:t xml:space="preserve"> è</w:t>
      </w:r>
      <w:r w:rsidRPr="00924387">
        <w:rPr>
          <w:rFonts w:ascii="Times New Roman" w:hAnsi="Times New Roman" w:cs="Times New Roman"/>
          <w:sz w:val="24"/>
          <w:szCs w:val="24"/>
        </w:rPr>
        <w:t xml:space="preserve"> scevra di effetti collaterali (</w:t>
      </w:r>
      <w:proofErr w:type="spellStart"/>
      <w:r w:rsidRPr="00924387">
        <w:rPr>
          <w:rFonts w:ascii="Times New Roman" w:hAnsi="Times New Roman" w:cs="Times New Roman"/>
          <w:sz w:val="24"/>
          <w:szCs w:val="24"/>
        </w:rPr>
        <w:t>broncorr</w:t>
      </w:r>
      <w:r w:rsidR="00B114B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B114B8">
        <w:rPr>
          <w:rFonts w:ascii="Times New Roman" w:hAnsi="Times New Roman" w:cs="Times New Roman"/>
          <w:sz w:val="24"/>
          <w:szCs w:val="24"/>
        </w:rPr>
        <w:t>, bradicardia, convulsioni) ed</w:t>
      </w:r>
      <w:r w:rsidRPr="00924387">
        <w:rPr>
          <w:rFonts w:ascii="Times New Roman" w:hAnsi="Times New Roman" w:cs="Times New Roman"/>
          <w:sz w:val="24"/>
          <w:szCs w:val="24"/>
        </w:rPr>
        <w:t xml:space="preserve"> in relazione alla gravità dell'intossicazione</w:t>
      </w:r>
      <w:r w:rsidR="00B114B8">
        <w:rPr>
          <w:rFonts w:ascii="Times New Roman" w:hAnsi="Times New Roman" w:cs="Times New Roman"/>
          <w:sz w:val="24"/>
          <w:szCs w:val="24"/>
        </w:rPr>
        <w:t xml:space="preserve">, </w:t>
      </w:r>
      <w:r w:rsidRPr="00924387">
        <w:rPr>
          <w:rFonts w:ascii="Times New Roman" w:hAnsi="Times New Roman" w:cs="Times New Roman"/>
          <w:sz w:val="24"/>
          <w:szCs w:val="24"/>
        </w:rPr>
        <w:t>va associato</w:t>
      </w:r>
      <w:r w:rsidR="00B114B8">
        <w:rPr>
          <w:rFonts w:ascii="Times New Roman" w:hAnsi="Times New Roman" w:cs="Times New Roman"/>
          <w:sz w:val="24"/>
          <w:szCs w:val="24"/>
        </w:rPr>
        <w:t>, ove necessario,</w:t>
      </w:r>
      <w:r w:rsidRPr="00924387">
        <w:rPr>
          <w:rFonts w:ascii="Times New Roman" w:hAnsi="Times New Roman" w:cs="Times New Roman"/>
          <w:sz w:val="24"/>
          <w:szCs w:val="24"/>
        </w:rPr>
        <w:t xml:space="preserve"> alle manovre di supporto delle funzioni vitali </w:t>
      </w:r>
      <w:r w:rsidR="00B114B8">
        <w:rPr>
          <w:rFonts w:ascii="Times New Roman" w:hAnsi="Times New Roman" w:cs="Times New Roman"/>
          <w:sz w:val="24"/>
          <w:szCs w:val="24"/>
        </w:rPr>
        <w:t>"tradizionali".</w:t>
      </w:r>
    </w:p>
    <w:p w:rsidR="00B114B8" w:rsidRDefault="00EB10F5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4387">
        <w:rPr>
          <w:rFonts w:ascii="Times New Roman" w:hAnsi="Times New Roman" w:cs="Times New Roman"/>
          <w:sz w:val="24"/>
          <w:szCs w:val="24"/>
        </w:rPr>
        <w:t>La dose d'attacco negli adulti è di 2 mg iniettati endovena lentamente (</w:t>
      </w:r>
      <w:proofErr w:type="gramStart"/>
      <w:r w:rsidRPr="00924387">
        <w:rPr>
          <w:rFonts w:ascii="Times New Roman" w:hAnsi="Times New Roman" w:cs="Times New Roman"/>
          <w:sz w:val="24"/>
          <w:szCs w:val="24"/>
        </w:rPr>
        <w:t>dose pediatrica 0.5 mg</w:t>
      </w:r>
      <w:proofErr w:type="gramEnd"/>
      <w:r w:rsidRPr="00924387">
        <w:rPr>
          <w:rFonts w:ascii="Times New Roman" w:hAnsi="Times New Roman" w:cs="Times New Roman"/>
          <w:sz w:val="24"/>
          <w:szCs w:val="24"/>
        </w:rPr>
        <w:t>), ripetuti se necessario per via della breve emivita de</w:t>
      </w:r>
      <w:r w:rsidR="00B114B8">
        <w:rPr>
          <w:rFonts w:ascii="Times New Roman" w:hAnsi="Times New Roman" w:cs="Times New Roman"/>
          <w:sz w:val="24"/>
          <w:szCs w:val="24"/>
        </w:rPr>
        <w:t>lla fisostigmina (20-60 min.).</w:t>
      </w:r>
    </w:p>
    <w:p w:rsidR="00B114B8" w:rsidRDefault="00B114B8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</w:t>
      </w:r>
      <w:r w:rsidR="00EB10F5" w:rsidRPr="00924387">
        <w:rPr>
          <w:rFonts w:ascii="Times New Roman" w:hAnsi="Times New Roman" w:cs="Times New Roman"/>
          <w:sz w:val="24"/>
          <w:szCs w:val="24"/>
        </w:rPr>
        <w:t>a risposta, nel caso di sindrome anticolinergica centrale</w:t>
      </w:r>
      <w:r>
        <w:rPr>
          <w:rFonts w:ascii="Times New Roman" w:hAnsi="Times New Roman" w:cs="Times New Roman"/>
          <w:sz w:val="24"/>
          <w:szCs w:val="24"/>
        </w:rPr>
        <w:t xml:space="preserve"> è pressoché immediata.</w:t>
      </w:r>
    </w:p>
    <w:p w:rsidR="00B114B8" w:rsidRDefault="00B114B8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n caso di mancata risposta bisogna ricercare segni associati (ipossia, acidosi) e dopo averli corretti </w:t>
      </w:r>
      <w:r>
        <w:rPr>
          <w:rFonts w:ascii="Times New Roman" w:hAnsi="Times New Roman" w:cs="Times New Roman"/>
          <w:sz w:val="24"/>
          <w:szCs w:val="24"/>
        </w:rPr>
        <w:t xml:space="preserve">somministrare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secondo bolo.</w:t>
      </w:r>
    </w:p>
    <w:p w:rsidR="00B114B8" w:rsidRDefault="00EB10F5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4387">
        <w:rPr>
          <w:rFonts w:ascii="Times New Roman" w:hAnsi="Times New Roman" w:cs="Times New Roman"/>
          <w:sz w:val="24"/>
          <w:szCs w:val="24"/>
        </w:rPr>
        <w:t>E' importante verificare che</w:t>
      </w:r>
      <w:r w:rsidR="00B114B8">
        <w:rPr>
          <w:rFonts w:ascii="Times New Roman" w:hAnsi="Times New Roman" w:cs="Times New Roman"/>
          <w:sz w:val="24"/>
          <w:szCs w:val="24"/>
        </w:rPr>
        <w:t xml:space="preserve"> non si manifestino segni </w:t>
      </w:r>
      <w:r w:rsidRPr="00924387">
        <w:rPr>
          <w:rFonts w:ascii="Times New Roman" w:hAnsi="Times New Roman" w:cs="Times New Roman"/>
          <w:sz w:val="24"/>
          <w:szCs w:val="24"/>
        </w:rPr>
        <w:t>di tossicità colinergica</w:t>
      </w:r>
      <w:r w:rsidR="00B114B8">
        <w:rPr>
          <w:rFonts w:ascii="Times New Roman" w:hAnsi="Times New Roman" w:cs="Times New Roman"/>
          <w:sz w:val="24"/>
          <w:szCs w:val="24"/>
        </w:rPr>
        <w:t>.</w:t>
      </w:r>
    </w:p>
    <w:p w:rsidR="00B114B8" w:rsidRDefault="00B114B8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10F5" w:rsidRPr="00924387">
        <w:rPr>
          <w:rFonts w:ascii="Times New Roman" w:hAnsi="Times New Roman" w:cs="Times New Roman"/>
          <w:sz w:val="24"/>
          <w:szCs w:val="24"/>
        </w:rPr>
        <w:t xml:space="preserve">n questo caso il trattamento </w:t>
      </w:r>
      <w:r>
        <w:rPr>
          <w:rFonts w:ascii="Times New Roman" w:hAnsi="Times New Roman" w:cs="Times New Roman"/>
          <w:sz w:val="24"/>
          <w:szCs w:val="24"/>
        </w:rPr>
        <w:t>con fisostigmina va interrotto.</w:t>
      </w:r>
    </w:p>
    <w:p w:rsidR="001B39B4" w:rsidRPr="0073148E" w:rsidRDefault="00EB10F5" w:rsidP="00B114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4387">
        <w:rPr>
          <w:rFonts w:ascii="Times New Roman" w:hAnsi="Times New Roman" w:cs="Times New Roman"/>
          <w:sz w:val="24"/>
          <w:szCs w:val="24"/>
        </w:rPr>
        <w:t>La somministrazione intramuscolare della fisostigmina non è raccomandata per via dell'assorbimento non prevedibile, così come non sono prudenti infusioni endovenose prolungate.</w:t>
      </w:r>
    </w:p>
    <w:p w:rsidR="00C72773" w:rsidRPr="00C72773" w:rsidRDefault="00C72773" w:rsidP="00C7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77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Bibliografia</w:t>
      </w:r>
      <w:r w:rsidRPr="00C72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22B16" w:rsidRPr="00C72773" w:rsidRDefault="00C72773" w:rsidP="00622B1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Goldfrank's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,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Toxicologic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 Emergencies. 4</w:t>
      </w:r>
      <w:r w:rsidRPr="00C72773">
        <w:rPr>
          <w:rFonts w:ascii="Arial" w:eastAsia="Times New Roman" w:hAnsi="Arial" w:cs="Arial"/>
          <w:i/>
          <w:sz w:val="20"/>
          <w:szCs w:val="20"/>
          <w:vertAlign w:val="superscript"/>
          <w:lang w:val="en-US" w:eastAsia="it-IT"/>
        </w:rPr>
        <w:t>th</w:t>
      </w:r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 </w:t>
      </w:r>
      <w:proofErr w:type="gramStart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edition .</w:t>
      </w:r>
      <w:proofErr w:type="gramEnd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>Appleton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&amp;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>Lange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1990</w:t>
      </w:r>
      <w:r w:rsidR="001E1B79"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;</w:t>
      </w:r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</w:p>
    <w:p w:rsidR="00C72773" w:rsidRPr="00C72773" w:rsidRDefault="00C72773" w:rsidP="00622B1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0"/>
          <w:szCs w:val="20"/>
          <w:lang w:val="en-US" w:eastAsia="it-IT"/>
        </w:rPr>
      </w:pPr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P.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Viccellio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, Handbook of Medical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Toxucology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>. Little, Brown and Company 1993</w:t>
      </w:r>
      <w:r w:rsidR="001E1B79" w:rsidRPr="00622B16">
        <w:rPr>
          <w:rFonts w:ascii="Arial" w:eastAsia="Times New Roman" w:hAnsi="Arial" w:cs="Arial"/>
          <w:i/>
          <w:sz w:val="20"/>
          <w:szCs w:val="20"/>
          <w:lang w:val="en-US" w:eastAsia="it-IT"/>
        </w:rPr>
        <w:t>;</w:t>
      </w:r>
      <w:r w:rsidRPr="00C72773">
        <w:rPr>
          <w:rFonts w:ascii="Arial" w:eastAsia="Times New Roman" w:hAnsi="Arial" w:cs="Arial"/>
          <w:i/>
          <w:sz w:val="20"/>
          <w:szCs w:val="20"/>
          <w:lang w:val="en-US" w:eastAsia="it-IT"/>
        </w:rPr>
        <w:t xml:space="preserve"> </w:t>
      </w:r>
    </w:p>
    <w:p w:rsidR="00C72773" w:rsidRPr="00622B16" w:rsidRDefault="00C72773" w:rsidP="00622B1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M. Bozza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>Marrubini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, R. </w:t>
      </w:r>
      <w:proofErr w:type="spellStart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>Ghezzi</w:t>
      </w:r>
      <w:proofErr w:type="spellEnd"/>
      <w:r w:rsidRPr="00C72773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Laurenzi, P. Uccelli, Intossicazioni acute. 2a edizione OEMF 1989</w:t>
      </w:r>
      <w:r w:rsidR="001E1B79"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;</w:t>
      </w:r>
    </w:p>
    <w:p w:rsidR="00C532C9" w:rsidRPr="00622B16" w:rsidRDefault="00C532C9" w:rsidP="00622B16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2B16">
        <w:rPr>
          <w:rFonts w:ascii="Arial" w:eastAsia="Times New Roman" w:hAnsi="Arial" w:cs="Arial"/>
          <w:bCs/>
          <w:i/>
          <w:sz w:val="20"/>
          <w:szCs w:val="20"/>
          <w:lang w:eastAsia="it-IT"/>
        </w:rPr>
        <w:t xml:space="preserve">A. </w:t>
      </w:r>
      <w:proofErr w:type="spellStart"/>
      <w:r w:rsidRPr="00622B16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Pignataro</w:t>
      </w:r>
      <w:proofErr w:type="spellEnd"/>
      <w:r w:rsidRPr="00622B16">
        <w:rPr>
          <w:rFonts w:ascii="Arial" w:eastAsia="Times New Roman" w:hAnsi="Arial" w:cs="Arial"/>
          <w:bCs/>
          <w:i/>
          <w:sz w:val="20"/>
          <w:szCs w:val="20"/>
          <w:lang w:eastAsia="it-IT"/>
        </w:rPr>
        <w:t xml:space="preserve">, G. Di Fiore, P. De Michele - INTOSSICAZIONE ACUTA DA </w:t>
      </w:r>
      <w:r w:rsidRPr="00622B16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>MANDRAGORA OFFICINARUM-</w:t>
      </w:r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Servizio di Anestesia e Rianimazione</w:t>
      </w:r>
      <w:proofErr w:type="gramStart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,</w:t>
      </w:r>
      <w:proofErr w:type="gramEnd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Ospedale Buccheri La </w:t>
      </w:r>
      <w:proofErr w:type="spellStart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Ferla</w:t>
      </w:r>
      <w:proofErr w:type="spellEnd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proofErr w:type="spellStart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F.B.F.</w:t>
      </w:r>
      <w:proofErr w:type="spellEnd"/>
      <w:r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, Palermo</w:t>
      </w:r>
      <w:r w:rsidR="001E1B79" w:rsidRPr="00622B16">
        <w:rPr>
          <w:rFonts w:ascii="Arial" w:eastAsia="Times New Roman" w:hAnsi="Arial" w:cs="Arial"/>
          <w:i/>
          <w:sz w:val="20"/>
          <w:szCs w:val="20"/>
          <w:lang w:eastAsia="it-IT"/>
        </w:rPr>
        <w:t>;</w:t>
      </w:r>
    </w:p>
    <w:p w:rsidR="000B0FE1" w:rsidRPr="00C72773" w:rsidRDefault="001E1B79" w:rsidP="00D138E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 xml:space="preserve">Francesco Capasso; Leonardo </w:t>
      </w:r>
      <w:proofErr w:type="spellStart"/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>Donatelli</w:t>
      </w:r>
      <w:proofErr w:type="spellEnd"/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 xml:space="preserve">, </w:t>
      </w:r>
      <w:r w:rsidRPr="00622B16">
        <w:rPr>
          <w:rStyle w:val="CitazioneHTML"/>
          <w:rFonts w:ascii="Arial" w:hAnsi="Arial" w:cs="Arial"/>
          <w:sz w:val="20"/>
          <w:szCs w:val="20"/>
        </w:rPr>
        <w:t>Manuale di farmacognosia. Le droghe della FUJ</w:t>
      </w:r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 xml:space="preserve">, </w:t>
      </w:r>
      <w:proofErr w:type="spellStart"/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>Piccin</w:t>
      </w:r>
      <w:proofErr w:type="spellEnd"/>
      <w:r w:rsidRPr="00622B16">
        <w:rPr>
          <w:rStyle w:val="CitazioneHTML"/>
          <w:rFonts w:ascii="Arial" w:hAnsi="Arial" w:cs="Arial"/>
          <w:iCs w:val="0"/>
          <w:sz w:val="20"/>
          <w:szCs w:val="20"/>
        </w:rPr>
        <w:t xml:space="preserve"> Nuova Libraria, 1982, p.265.</w:t>
      </w:r>
      <w:r w:rsidR="00D138E8">
        <w:rPr>
          <w:rFonts w:ascii="Arial" w:hAnsi="Arial" w:cs="Arial"/>
          <w:i/>
          <w:sz w:val="20"/>
          <w:szCs w:val="20"/>
        </w:rPr>
        <w:t xml:space="preserve"> </w:t>
      </w:r>
    </w:p>
    <w:p w:rsidR="001B39B4" w:rsidRPr="0073148E" w:rsidRDefault="001B39B4" w:rsidP="001B39B4">
      <w:pPr>
        <w:rPr>
          <w:rFonts w:ascii="Times New Roman" w:hAnsi="Times New Roman" w:cs="Times New Roman"/>
          <w:sz w:val="24"/>
          <w:szCs w:val="24"/>
        </w:rPr>
      </w:pPr>
    </w:p>
    <w:sectPr w:rsidR="001B39B4" w:rsidRPr="0073148E" w:rsidSect="00644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45C"/>
    <w:multiLevelType w:val="multilevel"/>
    <w:tmpl w:val="988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497D"/>
    <w:multiLevelType w:val="hybridMultilevel"/>
    <w:tmpl w:val="053C0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62C2E"/>
    <w:multiLevelType w:val="multilevel"/>
    <w:tmpl w:val="1C58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B39B4"/>
    <w:rsid w:val="000B0FE1"/>
    <w:rsid w:val="00152725"/>
    <w:rsid w:val="001B39B4"/>
    <w:rsid w:val="001E1B79"/>
    <w:rsid w:val="0023462C"/>
    <w:rsid w:val="00243B09"/>
    <w:rsid w:val="002D205F"/>
    <w:rsid w:val="00386ABD"/>
    <w:rsid w:val="003C7040"/>
    <w:rsid w:val="00413F80"/>
    <w:rsid w:val="0043149F"/>
    <w:rsid w:val="00446094"/>
    <w:rsid w:val="005A3518"/>
    <w:rsid w:val="00622B16"/>
    <w:rsid w:val="00625EAF"/>
    <w:rsid w:val="00644F13"/>
    <w:rsid w:val="006B4A2D"/>
    <w:rsid w:val="006D7313"/>
    <w:rsid w:val="0073148E"/>
    <w:rsid w:val="007A7291"/>
    <w:rsid w:val="007B5B53"/>
    <w:rsid w:val="00874004"/>
    <w:rsid w:val="008A66E7"/>
    <w:rsid w:val="008F252D"/>
    <w:rsid w:val="00924387"/>
    <w:rsid w:val="00965038"/>
    <w:rsid w:val="00A46967"/>
    <w:rsid w:val="00AB6CC8"/>
    <w:rsid w:val="00B114B8"/>
    <w:rsid w:val="00C532C9"/>
    <w:rsid w:val="00C72773"/>
    <w:rsid w:val="00D138E8"/>
    <w:rsid w:val="00D5269B"/>
    <w:rsid w:val="00DE4F40"/>
    <w:rsid w:val="00E36CC7"/>
    <w:rsid w:val="00E40C7F"/>
    <w:rsid w:val="00EA5C8C"/>
    <w:rsid w:val="00EB10F5"/>
    <w:rsid w:val="00F53C73"/>
    <w:rsid w:val="00FC5DE8"/>
    <w:rsid w:val="00FE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F1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1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C53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ABD"/>
    <w:pPr>
      <w:ind w:left="720"/>
      <w:contextualSpacing/>
    </w:pPr>
  </w:style>
  <w:style w:type="character" w:customStyle="1" w:styleId="hps">
    <w:name w:val="hps"/>
    <w:basedOn w:val="Carpredefinitoparagrafo"/>
    <w:rsid w:val="0073148E"/>
  </w:style>
  <w:style w:type="character" w:customStyle="1" w:styleId="atn">
    <w:name w:val="atn"/>
    <w:basedOn w:val="Carpredefinitoparagrafo"/>
    <w:rsid w:val="0073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52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C5DE8"/>
    <w:rPr>
      <w:b/>
      <w:bCs/>
    </w:rPr>
  </w:style>
  <w:style w:type="paragraph" w:styleId="NormaleWeb">
    <w:name w:val="Normal (Web)"/>
    <w:basedOn w:val="Normale"/>
    <w:uiPriority w:val="99"/>
    <w:unhideWhenUsed/>
    <w:rsid w:val="00FC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4A2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32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Carpredefinitoparagrafo"/>
    <w:rsid w:val="001E1B79"/>
  </w:style>
  <w:style w:type="character" w:customStyle="1" w:styleId="editsection">
    <w:name w:val="editsection"/>
    <w:basedOn w:val="Carpredefinitoparagrafo"/>
    <w:rsid w:val="001E1B79"/>
  </w:style>
  <w:style w:type="character" w:styleId="CitazioneHTML">
    <w:name w:val="HTML Cite"/>
    <w:basedOn w:val="Carpredefinitoparagrafo"/>
    <w:uiPriority w:val="99"/>
    <w:semiHidden/>
    <w:unhideWhenUsed/>
    <w:rsid w:val="001E1B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ABD"/>
    <w:pPr>
      <w:ind w:left="720"/>
      <w:contextualSpacing/>
    </w:pPr>
  </w:style>
  <w:style w:type="character" w:customStyle="1" w:styleId="hps">
    <w:name w:val="hps"/>
    <w:basedOn w:val="Carpredefinitoparagrafo"/>
    <w:rsid w:val="0073148E"/>
  </w:style>
  <w:style w:type="character" w:customStyle="1" w:styleId="atn">
    <w:name w:val="atn"/>
    <w:basedOn w:val="Carpredefinitoparagrafo"/>
    <w:rsid w:val="0073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.wikipedia.org/wiki/Farmacologia" TargetMode="External"/><Relationship Id="rId18" Type="http://schemas.openxmlformats.org/officeDocument/2006/relationships/hyperlink" Target="http://it.wikipedia.org/wiki/Morbo_di_Parkins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t.wikipedia.org/wiki/Sanscrito" TargetMode="External"/><Relationship Id="rId12" Type="http://schemas.openxmlformats.org/officeDocument/2006/relationships/hyperlink" Target="http://it.wikipedia.org/wiki/Triptofano" TargetMode="External"/><Relationship Id="rId17" Type="http://schemas.openxmlformats.org/officeDocument/2006/relationships/hyperlink" Target="http://it.wikipedia.org/wiki/Velen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/index.php?title=Carbamilazione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Lingua_greca_antica" TargetMode="External"/><Relationship Id="rId11" Type="http://schemas.openxmlformats.org/officeDocument/2006/relationships/hyperlink" Target="http://it.wikipedia.org/w/index.php?title=Fava_del_Calabar&amp;action=edit&amp;redlink=1" TargetMode="External"/><Relationship Id="rId5" Type="http://schemas.openxmlformats.org/officeDocument/2006/relationships/hyperlink" Target="mailto:f.moschella@alice.it" TargetMode="External"/><Relationship Id="rId15" Type="http://schemas.openxmlformats.org/officeDocument/2006/relationships/hyperlink" Target="http://it.wikipedia.org/wiki/Inibitore_enzimatico" TargetMode="External"/><Relationship Id="rId10" Type="http://schemas.openxmlformats.org/officeDocument/2006/relationships/hyperlink" Target="http://it.wikipedia.org/wiki/Seme" TargetMode="External"/><Relationship Id="rId19" Type="http://schemas.openxmlformats.org/officeDocument/2006/relationships/hyperlink" Target="http://it.wikipedia.org/wiki/Morbo_di_Alzhei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Alcaloide" TargetMode="External"/><Relationship Id="rId14" Type="http://schemas.openxmlformats.org/officeDocument/2006/relationships/hyperlink" Target="http://it.wikipedia.org/wiki/Enzima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 </cp:lastModifiedBy>
  <cp:revision>34</cp:revision>
  <dcterms:created xsi:type="dcterms:W3CDTF">2012-01-31T05:51:00Z</dcterms:created>
  <dcterms:modified xsi:type="dcterms:W3CDTF">2012-06-20T10:10:00Z</dcterms:modified>
</cp:coreProperties>
</file>